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50" w:rsidRPr="00EB6A50" w:rsidRDefault="00EB6A50" w:rsidP="00EB6A50">
      <w:pPr>
        <w:suppressAutoHyphens w:val="0"/>
        <w:spacing w:line="480" w:lineRule="auto"/>
        <w:jc w:val="both"/>
        <w:rPr>
          <w:b/>
          <w:bCs/>
        </w:rPr>
      </w:pPr>
      <w:bookmarkStart w:id="0" w:name="_GoBack"/>
      <w:bookmarkEnd w:id="0"/>
      <w:r w:rsidRPr="00EB6A50">
        <w:rPr>
          <w:b/>
          <w:bCs/>
        </w:rPr>
        <w:t xml:space="preserve">Constructing “Suspect” Communities and Britishness: Mapping British Press Coverage of Irish </w:t>
      </w:r>
      <w:r w:rsidR="00091564" w:rsidRPr="00EB6A50">
        <w:rPr>
          <w:b/>
          <w:bCs/>
        </w:rPr>
        <w:t xml:space="preserve">Communities </w:t>
      </w:r>
      <w:r w:rsidRPr="00EB6A50">
        <w:rPr>
          <w:b/>
          <w:bCs/>
        </w:rPr>
        <w:t>and Muslim Communities, 1974-2007</w:t>
      </w:r>
    </w:p>
    <w:p w:rsidR="00EB6A50" w:rsidRDefault="00EB6A50" w:rsidP="008F7BE2">
      <w:pPr>
        <w:suppressAutoHyphens w:val="0"/>
        <w:spacing w:line="480" w:lineRule="auto"/>
        <w:jc w:val="both"/>
        <w:rPr>
          <w:b/>
          <w:bCs/>
        </w:rPr>
      </w:pPr>
    </w:p>
    <w:p w:rsidR="00096C79" w:rsidRPr="00A56475" w:rsidRDefault="00096C79" w:rsidP="008F7BE2">
      <w:pPr>
        <w:suppressAutoHyphens w:val="0"/>
        <w:spacing w:line="480" w:lineRule="auto"/>
        <w:jc w:val="both"/>
        <w:rPr>
          <w:b/>
          <w:bCs/>
        </w:rPr>
      </w:pPr>
      <w:r w:rsidRPr="00A56475">
        <w:rPr>
          <w:b/>
          <w:bCs/>
        </w:rPr>
        <w:t>Abstract</w:t>
      </w:r>
    </w:p>
    <w:p w:rsidR="00096C79" w:rsidRPr="00A56475" w:rsidRDefault="00096C79" w:rsidP="008F7BE2">
      <w:pPr>
        <w:suppressAutoHyphens w:val="0"/>
        <w:spacing w:line="480" w:lineRule="auto"/>
        <w:jc w:val="both"/>
      </w:pPr>
    </w:p>
    <w:p w:rsidR="00096C79" w:rsidRPr="00A56475" w:rsidRDefault="00096C79" w:rsidP="008F7BE2">
      <w:pPr>
        <w:suppressAutoHyphens w:val="0"/>
        <w:spacing w:line="480" w:lineRule="auto"/>
        <w:jc w:val="both"/>
      </w:pPr>
      <w:r w:rsidRPr="00A56475">
        <w:t>There exist many parallels between the experiences of Irish communities in Britain in the past and those of Muslim communities today. However, although they have both been the subject of negative stereotyping, intelligence profiling, wrongful arrest and prejudice</w:t>
      </w:r>
      <w:r w:rsidR="004A6BCB">
        <w:t>,</w:t>
      </w:r>
      <w:r w:rsidRPr="00A56475">
        <w:t xml:space="preserve"> little research has been carried out comparing how these communities are represented in the media. We address this gap by mapping British press coverage of events involving Irish and Muslim communities that occurred between 1974 and 2007. Our analysis shows that both sets of communities have been represented as “suspect” to different degrees, which we attribute to varying perceptions within the press as to the nature of the threat Irish and Muslim communities are though to pose to Britain. We conclude that a central concern of the press lies with defending its own constructions of Britishness against perceived extremists, and against abuses of power and authority by the state security apparatus.</w:t>
      </w:r>
    </w:p>
    <w:p w:rsidR="00096C79" w:rsidRPr="00A56475" w:rsidRDefault="00504D8D" w:rsidP="008F7BE2">
      <w:pPr>
        <w:suppressAutoHyphens w:val="0"/>
        <w:spacing w:line="480" w:lineRule="auto"/>
        <w:jc w:val="both"/>
      </w:pPr>
      <w:r w:rsidRPr="00A56475">
        <w:tab/>
      </w:r>
    </w:p>
    <w:p w:rsidR="00096C79" w:rsidRPr="00A56475" w:rsidRDefault="00096C79" w:rsidP="008F7BE2">
      <w:pPr>
        <w:suppressAutoHyphens w:val="0"/>
        <w:spacing w:line="480" w:lineRule="auto"/>
        <w:jc w:val="both"/>
      </w:pPr>
      <w:r w:rsidRPr="00A56475">
        <w:rPr>
          <w:b/>
          <w:bCs/>
        </w:rPr>
        <w:t>Keywords:</w:t>
      </w:r>
      <w:r w:rsidRPr="00A56475">
        <w:t xml:space="preserve"> Muslims; Irish; Terrorism; Suspect Communities</w:t>
      </w:r>
      <w:r w:rsidR="00FE77FF" w:rsidRPr="00A56475">
        <w:t>; Media.</w:t>
      </w:r>
    </w:p>
    <w:p w:rsidR="00096C79" w:rsidRPr="00A56475" w:rsidRDefault="00096C79" w:rsidP="008F7BE2">
      <w:pPr>
        <w:suppressAutoHyphens w:val="0"/>
        <w:spacing w:line="480" w:lineRule="auto"/>
        <w:jc w:val="both"/>
        <w:rPr>
          <w:b/>
          <w:bCs/>
        </w:rPr>
      </w:pPr>
    </w:p>
    <w:p w:rsidR="00096C79" w:rsidRPr="00A56475" w:rsidRDefault="00EB6A50" w:rsidP="008F7BE2">
      <w:pPr>
        <w:suppressAutoHyphens w:val="0"/>
        <w:spacing w:line="480" w:lineRule="auto"/>
        <w:jc w:val="both"/>
      </w:pPr>
      <w:r>
        <w:rPr>
          <w:b/>
          <w:bCs/>
        </w:rPr>
        <w:br w:type="page"/>
      </w:r>
      <w:r w:rsidR="00096C79" w:rsidRPr="00A56475">
        <w:rPr>
          <w:b/>
          <w:bCs/>
        </w:rPr>
        <w:lastRenderedPageBreak/>
        <w:t>Acknowledgements</w:t>
      </w:r>
    </w:p>
    <w:p w:rsidR="00096C79" w:rsidRPr="00A56475" w:rsidRDefault="00096C79" w:rsidP="008F7BE2">
      <w:pPr>
        <w:suppressAutoHyphens w:val="0"/>
        <w:spacing w:line="480" w:lineRule="auto"/>
        <w:jc w:val="both"/>
      </w:pPr>
    </w:p>
    <w:p w:rsidR="002126E5" w:rsidRPr="00A56475" w:rsidRDefault="00096C79" w:rsidP="008F7BE2">
      <w:pPr>
        <w:suppressAutoHyphens w:val="0"/>
        <w:spacing w:line="480" w:lineRule="auto"/>
        <w:jc w:val="both"/>
      </w:pPr>
      <w:r w:rsidRPr="00A56475">
        <w:t>This article forms part of a larger ESRC-funded (RES-062-23-1066) comparative study analyzing representations of Irish and Muslim communities as “suspect” in media, policy and public discourses, and assessing the impact of counterterrorism on minority communities in multi-ethnic Britain.</w:t>
      </w:r>
      <w:r w:rsidR="002126E5">
        <w:t xml:space="preserve"> We would like to thank John E. Richardson and the other anonymous reviewer for their comments on this article. </w:t>
      </w:r>
    </w:p>
    <w:p w:rsidR="00135B6F" w:rsidRDefault="00096C79" w:rsidP="008F7BE2">
      <w:pPr>
        <w:spacing w:line="480" w:lineRule="auto"/>
        <w:ind w:firstLine="720"/>
        <w:jc w:val="both"/>
      </w:pPr>
      <w:r w:rsidRPr="00A56475">
        <w:rPr>
          <w:b/>
          <w:bCs/>
        </w:rPr>
        <w:br w:type="page"/>
      </w:r>
      <w:r w:rsidR="008001A0" w:rsidRPr="00A56475">
        <w:lastRenderedPageBreak/>
        <w:t>T</w:t>
      </w:r>
      <w:r w:rsidR="00817133" w:rsidRPr="00A56475">
        <w:t xml:space="preserve">his article </w:t>
      </w:r>
      <w:r w:rsidR="002713B2" w:rsidRPr="00A56475">
        <w:t>examine</w:t>
      </w:r>
      <w:r w:rsidR="008001A0" w:rsidRPr="00A56475">
        <w:t>s</w:t>
      </w:r>
      <w:r w:rsidR="002713B2" w:rsidRPr="00A56475">
        <w:t xml:space="preserve"> </w:t>
      </w:r>
      <w:r w:rsidR="008001A0" w:rsidRPr="00A56475">
        <w:t xml:space="preserve">the construction </w:t>
      </w:r>
      <w:r w:rsidR="002713B2" w:rsidRPr="00A56475">
        <w:t>of Irish and Muslim communities in Britain as “suspect” in the British press</w:t>
      </w:r>
      <w:r w:rsidR="00E573E7" w:rsidRPr="00A56475">
        <w:t xml:space="preserve"> between 1974 and 2007</w:t>
      </w:r>
      <w:r w:rsidR="00332537" w:rsidRPr="00A56475">
        <w:t>. This</w:t>
      </w:r>
      <w:r w:rsidR="00817133" w:rsidRPr="00A56475">
        <w:t xml:space="preserve"> period </w:t>
      </w:r>
      <w:r w:rsidR="00332537" w:rsidRPr="00A56475">
        <w:t xml:space="preserve">has been </w:t>
      </w:r>
      <w:r w:rsidR="003B238F" w:rsidRPr="00A56475">
        <w:t xml:space="preserve">marked by events involving </w:t>
      </w:r>
      <w:r w:rsidR="00817133" w:rsidRPr="00A56475">
        <w:t>these communities that have threatened social cohesion</w:t>
      </w:r>
      <w:r w:rsidR="00143082">
        <w:t xml:space="preserve"> (i.e. ‘the cohesion of the social fabric of society</w:t>
      </w:r>
      <w:r w:rsidR="00D124CE">
        <w:t>’</w:t>
      </w:r>
      <w:r w:rsidR="00143082">
        <w:t>, see Hickman et al</w:t>
      </w:r>
      <w:r w:rsidR="00880D52">
        <w:t>.</w:t>
      </w:r>
      <w:r w:rsidR="00143082">
        <w:t>, 2008: ix)</w:t>
      </w:r>
      <w:r w:rsidR="00332537" w:rsidRPr="00A56475">
        <w:t xml:space="preserve"> and </w:t>
      </w:r>
      <w:r w:rsidR="00A814C8" w:rsidRPr="00A56475">
        <w:t>other</w:t>
      </w:r>
      <w:r w:rsidR="00143082">
        <w:t>s</w:t>
      </w:r>
      <w:r w:rsidR="00A814C8" w:rsidRPr="00A56475">
        <w:t xml:space="preserve"> </w:t>
      </w:r>
      <w:r w:rsidR="006C6272" w:rsidRPr="00A56475">
        <w:t xml:space="preserve">that have </w:t>
      </w:r>
      <w:r w:rsidR="00232112" w:rsidRPr="00A56475">
        <w:t xml:space="preserve">conversely </w:t>
      </w:r>
      <w:r w:rsidR="00817133" w:rsidRPr="00A56475">
        <w:t xml:space="preserve">had the potential to heal rifts in social relations. </w:t>
      </w:r>
      <w:r w:rsidR="00771444" w:rsidRPr="00A56475">
        <w:t xml:space="preserve">Although </w:t>
      </w:r>
      <w:r w:rsidR="000E2F67" w:rsidRPr="00A56475">
        <w:t xml:space="preserve">many </w:t>
      </w:r>
      <w:r w:rsidR="00817133" w:rsidRPr="00A56475">
        <w:t xml:space="preserve">parallels </w:t>
      </w:r>
      <w:r w:rsidR="000E2F67" w:rsidRPr="00A56475">
        <w:t xml:space="preserve">exist </w:t>
      </w:r>
      <w:r w:rsidR="00221716" w:rsidRPr="00A56475">
        <w:t>between</w:t>
      </w:r>
      <w:r w:rsidR="00817133" w:rsidRPr="00A56475">
        <w:t xml:space="preserve"> the experiences of Irish </w:t>
      </w:r>
      <w:r w:rsidR="00684558" w:rsidRPr="00A56475">
        <w:t xml:space="preserve">communities in Britain </w:t>
      </w:r>
      <w:r w:rsidR="00FC3000" w:rsidRPr="00A56475">
        <w:t xml:space="preserve">in the past </w:t>
      </w:r>
      <w:r w:rsidR="00817133" w:rsidRPr="00A56475">
        <w:t xml:space="preserve">and </w:t>
      </w:r>
      <w:r w:rsidR="00FC3000" w:rsidRPr="00A56475">
        <w:t xml:space="preserve">those of </w:t>
      </w:r>
      <w:r w:rsidR="00817133" w:rsidRPr="00A56475">
        <w:t xml:space="preserve">Muslim communities </w:t>
      </w:r>
      <w:r w:rsidR="00883E78" w:rsidRPr="00A56475">
        <w:t>today</w:t>
      </w:r>
      <w:r w:rsidR="00FC3000" w:rsidRPr="00A56475">
        <w:t xml:space="preserve"> </w:t>
      </w:r>
      <w:r w:rsidR="00771444" w:rsidRPr="00A56475">
        <w:t>(</w:t>
      </w:r>
      <w:r w:rsidR="003260BD" w:rsidRPr="00A56475">
        <w:t xml:space="preserve">negative </w:t>
      </w:r>
      <w:r w:rsidR="00817133" w:rsidRPr="00A56475">
        <w:t xml:space="preserve">stereotyping, </w:t>
      </w:r>
      <w:r w:rsidR="00771444" w:rsidRPr="00A56475">
        <w:t xml:space="preserve">intelligence </w:t>
      </w:r>
      <w:r w:rsidR="00817133" w:rsidRPr="00A56475">
        <w:t xml:space="preserve">profiling, stop and search, </w:t>
      </w:r>
      <w:r w:rsidR="00490E76" w:rsidRPr="00A56475">
        <w:t xml:space="preserve">wrongful arrest, </w:t>
      </w:r>
      <w:r w:rsidR="003260BD" w:rsidRPr="00A56475">
        <w:t>anti-Irish and anti-Muslim sentiment</w:t>
      </w:r>
      <w:r w:rsidR="00771444" w:rsidRPr="00A56475">
        <w:t>), there has</w:t>
      </w:r>
      <w:r w:rsidR="00DC6FA0" w:rsidRPr="00A56475">
        <w:t xml:space="preserve"> </w:t>
      </w:r>
      <w:r w:rsidR="00771444" w:rsidRPr="00A56475">
        <w:t>been</w:t>
      </w:r>
      <w:r w:rsidR="00A2155A" w:rsidRPr="00A56475">
        <w:t xml:space="preserve"> </w:t>
      </w:r>
      <w:r w:rsidR="00771444" w:rsidRPr="00A56475">
        <w:t xml:space="preserve">little </w:t>
      </w:r>
      <w:r w:rsidR="00817133" w:rsidRPr="00A56475">
        <w:t xml:space="preserve">research </w:t>
      </w:r>
      <w:r w:rsidR="00771444" w:rsidRPr="00A56475">
        <w:t xml:space="preserve">comparing </w:t>
      </w:r>
      <w:r w:rsidR="00F64C5C" w:rsidRPr="00A56475">
        <w:t xml:space="preserve">and contrasting </w:t>
      </w:r>
      <w:r w:rsidR="00771444" w:rsidRPr="00A56475">
        <w:t>the construction of these communities</w:t>
      </w:r>
      <w:r w:rsidR="00C47ADF" w:rsidRPr="00A56475">
        <w:t xml:space="preserve"> in public discourse</w:t>
      </w:r>
      <w:r w:rsidR="00766B8F" w:rsidRPr="00A56475">
        <w:t xml:space="preserve"> and </w:t>
      </w:r>
      <w:r w:rsidR="008001A0" w:rsidRPr="00A56475">
        <w:t xml:space="preserve">its </w:t>
      </w:r>
      <w:r w:rsidR="00766B8F" w:rsidRPr="00A56475">
        <w:t>effect on the communities concerned</w:t>
      </w:r>
      <w:r w:rsidR="001267B9" w:rsidRPr="00A56475">
        <w:t xml:space="preserve">. </w:t>
      </w:r>
    </w:p>
    <w:p w:rsidR="00A814C8" w:rsidRPr="00A56475" w:rsidRDefault="001267B9" w:rsidP="008F7BE2">
      <w:pPr>
        <w:spacing w:line="480" w:lineRule="auto"/>
        <w:ind w:firstLine="720"/>
        <w:jc w:val="both"/>
      </w:pPr>
      <w:r w:rsidRPr="00A56475">
        <w:t>The larger</w:t>
      </w:r>
      <w:r w:rsidR="00817133" w:rsidRPr="00A56475">
        <w:t xml:space="preserve"> project </w:t>
      </w:r>
      <w:r w:rsidRPr="00A56475">
        <w:t xml:space="preserve">of which this article </w:t>
      </w:r>
      <w:r w:rsidR="00EF6207" w:rsidRPr="00A56475">
        <w:t>forms</w:t>
      </w:r>
      <w:r w:rsidRPr="00A56475">
        <w:t xml:space="preserve"> part </w:t>
      </w:r>
      <w:r w:rsidR="000F526A" w:rsidRPr="00A56475">
        <w:t xml:space="preserve">addresses </w:t>
      </w:r>
      <w:r w:rsidR="00817133" w:rsidRPr="00A56475">
        <w:t>this gap</w:t>
      </w:r>
      <w:r w:rsidR="00323599" w:rsidRPr="00A56475">
        <w:t xml:space="preserve"> in the research</w:t>
      </w:r>
      <w:r w:rsidR="00C00936" w:rsidRPr="00A56475">
        <w:t>, seeking to identify</w:t>
      </w:r>
      <w:r w:rsidR="00391479" w:rsidRPr="00A56475">
        <w:t xml:space="preserve"> </w:t>
      </w:r>
      <w:r w:rsidR="00ED37BA" w:rsidRPr="00A56475">
        <w:t>mechanisms through which</w:t>
      </w:r>
      <w:r w:rsidR="00DD045F" w:rsidRPr="00A56475">
        <w:t xml:space="preserve"> the fear of potential terrorist threats intersects with notions of et</w:t>
      </w:r>
      <w:r w:rsidR="00ED37BA" w:rsidRPr="00A56475">
        <w:t>hnicity, religion</w:t>
      </w:r>
      <w:r w:rsidR="00DD045F" w:rsidRPr="00A56475">
        <w:t xml:space="preserve"> and identity</w:t>
      </w:r>
      <w:r w:rsidR="00ED37BA" w:rsidRPr="00A56475">
        <w:t xml:space="preserve">. </w:t>
      </w:r>
      <w:r w:rsidR="006B2A63" w:rsidRPr="00A56475">
        <w:t>Th</w:t>
      </w:r>
      <w:r w:rsidR="00EF6207" w:rsidRPr="00A56475">
        <w:t>e project achieves this</w:t>
      </w:r>
      <w:r w:rsidR="00817133" w:rsidRPr="00A56475">
        <w:t xml:space="preserve"> through </w:t>
      </w:r>
      <w:r w:rsidR="00C87AD3" w:rsidRPr="00A56475">
        <w:t xml:space="preserve">critical </w:t>
      </w:r>
      <w:r w:rsidR="00817133" w:rsidRPr="00A56475">
        <w:t>analy</w:t>
      </w:r>
      <w:r w:rsidR="00BE480E" w:rsidRPr="00A56475">
        <w:t>si</w:t>
      </w:r>
      <w:r w:rsidR="00C87AD3" w:rsidRPr="00A56475">
        <w:t xml:space="preserve">s of </w:t>
      </w:r>
      <w:r w:rsidR="00065A80" w:rsidRPr="00A56475">
        <w:t>newspaper coverage</w:t>
      </w:r>
      <w:r w:rsidR="00817133" w:rsidRPr="00A56475">
        <w:t xml:space="preserve">, </w:t>
      </w:r>
      <w:r w:rsidR="00EF6207" w:rsidRPr="00A56475">
        <w:t>anti-terrorist legislation,</w:t>
      </w:r>
      <w:r w:rsidR="00ED37BA" w:rsidRPr="00A56475">
        <w:t xml:space="preserve"> and </w:t>
      </w:r>
      <w:r w:rsidR="00817133" w:rsidRPr="00A56475">
        <w:t xml:space="preserve">police and government statements following events </w:t>
      </w:r>
      <w:r w:rsidR="00D31B6E" w:rsidRPr="00A56475">
        <w:t>involving Irish and Muslim communities</w:t>
      </w:r>
      <w:r w:rsidR="00C63E6D" w:rsidRPr="00A56475">
        <w:t xml:space="preserve"> in Britain</w:t>
      </w:r>
      <w:r w:rsidR="00BE480E" w:rsidRPr="00A56475">
        <w:t xml:space="preserve">, </w:t>
      </w:r>
      <w:r w:rsidR="0030532B" w:rsidRPr="00A56475">
        <w:t>complemented</w:t>
      </w:r>
      <w:r w:rsidR="00817133" w:rsidRPr="00A56475">
        <w:t xml:space="preserve"> by an investigation </w:t>
      </w:r>
      <w:r w:rsidR="00716725" w:rsidRPr="00A56475">
        <w:t>into</w:t>
      </w:r>
      <w:r w:rsidR="00817133" w:rsidRPr="00A56475">
        <w:t xml:space="preserve"> the experience of “being suspect”</w:t>
      </w:r>
      <w:r w:rsidR="00ED37BA" w:rsidRPr="00A56475">
        <w:t xml:space="preserve">, which </w:t>
      </w:r>
      <w:r w:rsidR="00EA022E" w:rsidRPr="00A56475">
        <w:t xml:space="preserve">was </w:t>
      </w:r>
      <w:r w:rsidR="00ED37BA" w:rsidRPr="00A56475">
        <w:t xml:space="preserve">achieved through </w:t>
      </w:r>
      <w:r w:rsidR="00323599" w:rsidRPr="00A56475">
        <w:t xml:space="preserve">holding </w:t>
      </w:r>
      <w:r w:rsidR="00817133" w:rsidRPr="00A56475">
        <w:t>key infor</w:t>
      </w:r>
      <w:r w:rsidR="00ED37BA" w:rsidRPr="00A56475">
        <w:t>mant interviews and joint Irish</w:t>
      </w:r>
      <w:r w:rsidR="00817133" w:rsidRPr="00A56475">
        <w:t>/Muslim discussion groups</w:t>
      </w:r>
      <w:r w:rsidR="0035571F" w:rsidRPr="00A56475">
        <w:t xml:space="preserve"> </w:t>
      </w:r>
      <w:r w:rsidR="00817133" w:rsidRPr="00A56475">
        <w:t xml:space="preserve">in </w:t>
      </w:r>
      <w:r w:rsidR="002B0844" w:rsidRPr="00A56475">
        <w:t>London and Birmingham</w:t>
      </w:r>
      <w:r w:rsidR="00E57104" w:rsidRPr="00A56475">
        <w:t xml:space="preserve"> between March 2009 and March 2010</w:t>
      </w:r>
      <w:r w:rsidR="00817133" w:rsidRPr="00A56475">
        <w:t>.</w:t>
      </w:r>
      <w:r w:rsidR="002C0C68" w:rsidRPr="00A56475">
        <w:t xml:space="preserve"> </w:t>
      </w:r>
      <w:r w:rsidR="00C16892" w:rsidRPr="00A56475">
        <w:t xml:space="preserve">Here, we present </w:t>
      </w:r>
      <w:r w:rsidR="005937EB" w:rsidRPr="00A56475">
        <w:t xml:space="preserve">the </w:t>
      </w:r>
      <w:r w:rsidR="00866CD6" w:rsidRPr="00A56475">
        <w:t xml:space="preserve">findings </w:t>
      </w:r>
      <w:r w:rsidR="00C16892" w:rsidRPr="00A56475">
        <w:t xml:space="preserve">of one </w:t>
      </w:r>
      <w:r w:rsidR="00C57025" w:rsidRPr="00A56475">
        <w:t xml:space="preserve">component </w:t>
      </w:r>
      <w:r w:rsidR="00C16892" w:rsidRPr="00A56475">
        <w:t xml:space="preserve">of </w:t>
      </w:r>
      <w:r w:rsidR="0030532B" w:rsidRPr="00A56475">
        <w:t>th</w:t>
      </w:r>
      <w:r w:rsidR="00614EB4" w:rsidRPr="00A56475">
        <w:t xml:space="preserve">is </w:t>
      </w:r>
      <w:r w:rsidR="0030532B" w:rsidRPr="00A56475">
        <w:t>project</w:t>
      </w:r>
      <w:r w:rsidR="00504D8D" w:rsidRPr="00A56475">
        <w:t>, namely</w:t>
      </w:r>
      <w:r w:rsidR="00AE3D5B" w:rsidRPr="00A56475">
        <w:t xml:space="preserve"> </w:t>
      </w:r>
      <w:r w:rsidR="00C16892" w:rsidRPr="00A56475">
        <w:t xml:space="preserve">mapping British </w:t>
      </w:r>
      <w:r w:rsidR="00823D47" w:rsidRPr="00A56475">
        <w:t>newspaper</w:t>
      </w:r>
      <w:r w:rsidR="00C16892" w:rsidRPr="00A56475">
        <w:t xml:space="preserve"> coverage of events involving Irish and Muslim communities</w:t>
      </w:r>
      <w:r w:rsidR="002E66B9" w:rsidRPr="00A56475">
        <w:t xml:space="preserve"> between 1974 and 2007</w:t>
      </w:r>
      <w:r w:rsidR="0030532B" w:rsidRPr="00A56475">
        <w:t>.</w:t>
      </w:r>
      <w:r w:rsidR="00F12587" w:rsidRPr="00A56475">
        <w:t xml:space="preserve"> </w:t>
      </w:r>
      <w:r w:rsidR="007073DA" w:rsidRPr="00A56475">
        <w:t xml:space="preserve">Through </w:t>
      </w:r>
      <w:r w:rsidR="00D828A6" w:rsidRPr="00A56475">
        <w:t>this</w:t>
      </w:r>
      <w:r w:rsidR="007073DA" w:rsidRPr="00A56475">
        <w:t>,</w:t>
      </w:r>
      <w:r w:rsidR="00FF29C6" w:rsidRPr="00A56475">
        <w:t xml:space="preserve"> we </w:t>
      </w:r>
      <w:r w:rsidR="006C6272" w:rsidRPr="00A56475">
        <w:t xml:space="preserve">seek to </w:t>
      </w:r>
      <w:r w:rsidR="00E84AD5" w:rsidRPr="00A56475">
        <w:t xml:space="preserve">evaluate the </w:t>
      </w:r>
      <w:r w:rsidR="00FF29C6" w:rsidRPr="00A56475">
        <w:t xml:space="preserve">extent </w:t>
      </w:r>
      <w:r w:rsidR="006C6272" w:rsidRPr="00A56475">
        <w:t xml:space="preserve">to which </w:t>
      </w:r>
      <w:r w:rsidR="00514BE1" w:rsidRPr="00A56475">
        <w:t>these</w:t>
      </w:r>
      <w:r w:rsidR="005B3BBF" w:rsidRPr="00A56475">
        <w:t xml:space="preserve"> communities </w:t>
      </w:r>
      <w:r w:rsidR="006C6272" w:rsidRPr="00A56475">
        <w:t xml:space="preserve">are </w:t>
      </w:r>
      <w:r w:rsidR="005B3BBF" w:rsidRPr="00A56475">
        <w:t>represented as “suspect”</w:t>
      </w:r>
      <w:r w:rsidR="00FF29C6" w:rsidRPr="00A56475">
        <w:t xml:space="preserve"> in the </w:t>
      </w:r>
      <w:r w:rsidR="00BD4AB6" w:rsidRPr="00A56475">
        <w:t>national and diaspora press</w:t>
      </w:r>
      <w:r w:rsidR="006C6272" w:rsidRPr="00A56475">
        <w:t>.</w:t>
      </w:r>
      <w:r w:rsidR="00A814C8" w:rsidRPr="00A56475">
        <w:t xml:space="preserve"> The article argues that one of the principal concerns of </w:t>
      </w:r>
      <w:r w:rsidR="00DC6FA0" w:rsidRPr="00A56475">
        <w:t>journalists and commentators</w:t>
      </w:r>
      <w:r w:rsidR="009212F4" w:rsidRPr="00A56475">
        <w:t xml:space="preserve"> </w:t>
      </w:r>
      <w:r w:rsidR="005F644D" w:rsidRPr="00A56475">
        <w:t xml:space="preserve">in reporting Irish- and </w:t>
      </w:r>
      <w:r w:rsidR="00F443C8" w:rsidRPr="00A56475">
        <w:t>Muslim</w:t>
      </w:r>
      <w:r w:rsidR="005F644D" w:rsidRPr="00A56475">
        <w:t xml:space="preserve">-related events </w:t>
      </w:r>
      <w:r w:rsidR="005F644D" w:rsidRPr="00A56475">
        <w:lastRenderedPageBreak/>
        <w:t xml:space="preserve">has been </w:t>
      </w:r>
      <w:r w:rsidR="00A814C8" w:rsidRPr="00A56475">
        <w:t xml:space="preserve">to </w:t>
      </w:r>
      <w:r w:rsidR="009B3F16" w:rsidRPr="00A56475">
        <w:t xml:space="preserve">defend </w:t>
      </w:r>
      <w:r w:rsidR="00DC6FA0" w:rsidRPr="00A56475">
        <w:t>their own constructions of British values</w:t>
      </w:r>
      <w:r w:rsidR="00ED3552" w:rsidRPr="00A56475">
        <w:t xml:space="preserve"> and Britishness</w:t>
      </w:r>
      <w:r w:rsidR="00DC6FA0" w:rsidRPr="00A56475">
        <w:t xml:space="preserve"> against </w:t>
      </w:r>
      <w:r w:rsidR="00812026" w:rsidRPr="00A56475">
        <w:t xml:space="preserve">groups </w:t>
      </w:r>
      <w:r w:rsidR="00DC6FA0" w:rsidRPr="00A56475">
        <w:t xml:space="preserve">they perceive </w:t>
      </w:r>
      <w:r w:rsidR="00D75A00" w:rsidRPr="00A56475">
        <w:t xml:space="preserve">as </w:t>
      </w:r>
      <w:r w:rsidR="00812026" w:rsidRPr="00A56475">
        <w:t xml:space="preserve">posing a </w:t>
      </w:r>
      <w:r w:rsidR="00DC6FA0" w:rsidRPr="00A56475">
        <w:t xml:space="preserve">threat </w:t>
      </w:r>
      <w:r w:rsidR="00BD64AF" w:rsidRPr="00A56475">
        <w:t xml:space="preserve">to </w:t>
      </w:r>
      <w:r w:rsidR="00B32C25" w:rsidRPr="00A56475">
        <w:t>British civil society.</w:t>
      </w:r>
    </w:p>
    <w:p w:rsidR="002607B9" w:rsidRPr="00A56475" w:rsidRDefault="002607B9" w:rsidP="008F7BE2">
      <w:pPr>
        <w:suppressAutoHyphens w:val="0"/>
        <w:spacing w:line="480" w:lineRule="auto"/>
        <w:jc w:val="both"/>
      </w:pPr>
    </w:p>
    <w:p w:rsidR="00FD4167" w:rsidRPr="00A56475" w:rsidRDefault="006762FD" w:rsidP="008F7BE2">
      <w:pPr>
        <w:suppressAutoHyphens w:val="0"/>
        <w:spacing w:line="480" w:lineRule="auto"/>
        <w:jc w:val="both"/>
        <w:rPr>
          <w:b/>
        </w:rPr>
      </w:pPr>
      <w:r w:rsidRPr="00A56475">
        <w:rPr>
          <w:b/>
        </w:rPr>
        <w:t>Constructi</w:t>
      </w:r>
      <w:r w:rsidR="00FD4167" w:rsidRPr="00A56475">
        <w:rPr>
          <w:b/>
        </w:rPr>
        <w:t>n</w:t>
      </w:r>
      <w:r w:rsidRPr="00A56475">
        <w:rPr>
          <w:b/>
        </w:rPr>
        <w:t>g</w:t>
      </w:r>
      <w:r w:rsidR="00FD4167" w:rsidRPr="00A56475">
        <w:rPr>
          <w:b/>
        </w:rPr>
        <w:t xml:space="preserve"> Irish and Muslim communities as “suspect”</w:t>
      </w:r>
    </w:p>
    <w:p w:rsidR="00FF29C6" w:rsidRPr="00A56475" w:rsidRDefault="00FF29C6" w:rsidP="008F7BE2">
      <w:pPr>
        <w:suppressAutoHyphens w:val="0"/>
        <w:spacing w:line="480" w:lineRule="auto"/>
        <w:ind w:firstLine="720"/>
        <w:jc w:val="both"/>
      </w:pPr>
    </w:p>
    <w:p w:rsidR="0094568C" w:rsidRPr="00A56475" w:rsidRDefault="008948C3" w:rsidP="008F7BE2">
      <w:pPr>
        <w:suppressAutoHyphens w:val="0"/>
        <w:spacing w:line="480" w:lineRule="auto"/>
        <w:ind w:firstLine="720"/>
        <w:jc w:val="both"/>
      </w:pPr>
      <w:r w:rsidRPr="00A56475">
        <w:t>A</w:t>
      </w:r>
      <w:r w:rsidR="001348BC" w:rsidRPr="00A56475">
        <w:t xml:space="preserve"> substantial</w:t>
      </w:r>
      <w:r w:rsidRPr="00A56475">
        <w:t xml:space="preserve"> body of research has shown that Irish and Muslim</w:t>
      </w:r>
      <w:r w:rsidR="003A0DA1" w:rsidRPr="00A56475">
        <w:t xml:space="preserve"> communities</w:t>
      </w:r>
      <w:r w:rsidRPr="00A56475">
        <w:t xml:space="preserve"> in Britain have been </w:t>
      </w:r>
      <w:r w:rsidR="00682CAD" w:rsidRPr="00A56475">
        <w:t xml:space="preserve">and continue to be </w:t>
      </w:r>
      <w:r w:rsidR="00D03462" w:rsidRPr="00A56475">
        <w:t>confronted with</w:t>
      </w:r>
      <w:r w:rsidRPr="00A56475">
        <w:t xml:space="preserve"> racism, discrimination</w:t>
      </w:r>
      <w:r w:rsidR="00B37508" w:rsidRPr="00A56475">
        <w:t>,</w:t>
      </w:r>
      <w:r w:rsidR="00B242A0" w:rsidRPr="00A56475">
        <w:t xml:space="preserve"> prejudi</w:t>
      </w:r>
      <w:r w:rsidR="0070558E" w:rsidRPr="00A56475">
        <w:t>ce</w:t>
      </w:r>
      <w:r w:rsidR="00B37508" w:rsidRPr="00A56475">
        <w:t xml:space="preserve"> and </w:t>
      </w:r>
      <w:r w:rsidR="000A3322" w:rsidRPr="00A56475">
        <w:t xml:space="preserve">relatively </w:t>
      </w:r>
      <w:r w:rsidR="00B37508" w:rsidRPr="00A56475">
        <w:t>poor socio-economic conditions</w:t>
      </w:r>
      <w:r w:rsidR="00C504CD" w:rsidRPr="00A56475">
        <w:t xml:space="preserve"> (Abbas, 2005; Ballard, 2007; Hickman and Walter, 1997; Jacoby and Yavuz, 2008; Lloyd, 1995; Miller, 2006; Peach</w:t>
      </w:r>
      <w:r w:rsidR="002163CE" w:rsidRPr="00A56475">
        <w:t>,</w:t>
      </w:r>
      <w:r w:rsidR="00C504CD" w:rsidRPr="00A56475">
        <w:t xml:space="preserve"> 2006; Rehman, 2007).</w:t>
      </w:r>
      <w:r w:rsidR="00B37508" w:rsidRPr="00A56475">
        <w:t xml:space="preserve"> </w:t>
      </w:r>
      <w:r w:rsidR="0046457E" w:rsidRPr="00A56475">
        <w:t>B</w:t>
      </w:r>
      <w:r w:rsidR="00C504CD" w:rsidRPr="00A56475">
        <w:t xml:space="preserve">oth sets of communities </w:t>
      </w:r>
      <w:r w:rsidR="00B37508" w:rsidRPr="00A56475">
        <w:t xml:space="preserve">have </w:t>
      </w:r>
      <w:r w:rsidR="0046457E" w:rsidRPr="00A56475">
        <w:t xml:space="preserve">also </w:t>
      </w:r>
      <w:r w:rsidR="00B37508" w:rsidRPr="00A56475">
        <w:t xml:space="preserve">been </w:t>
      </w:r>
      <w:r w:rsidR="00F62177" w:rsidRPr="00A56475">
        <w:t>the targets</w:t>
      </w:r>
      <w:r w:rsidR="00B37508" w:rsidRPr="00A56475">
        <w:t xml:space="preserve"> </w:t>
      </w:r>
      <w:r w:rsidR="00F62177" w:rsidRPr="00A56475">
        <w:t>of</w:t>
      </w:r>
      <w:r w:rsidR="00B1089A" w:rsidRPr="00A56475">
        <w:t xml:space="preserve"> counterterrorism</w:t>
      </w:r>
      <w:r w:rsidR="00B37508" w:rsidRPr="00A56475">
        <w:t>, sometimes with tragic consequences</w:t>
      </w:r>
      <w:r w:rsidR="008076C4" w:rsidRPr="00A56475">
        <w:t>, as exemplified in cases of wrongful arrest</w:t>
      </w:r>
      <w:r w:rsidR="0053651F" w:rsidRPr="00A56475">
        <w:t xml:space="preserve"> of </w:t>
      </w:r>
      <w:r w:rsidR="008076C4" w:rsidRPr="00A56475">
        <w:t xml:space="preserve">Irish and Muslim </w:t>
      </w:r>
      <w:r w:rsidR="005F54DE" w:rsidRPr="00A56475">
        <w:t>people</w:t>
      </w:r>
      <w:r w:rsidR="005565D9" w:rsidRPr="00A56475">
        <w:t xml:space="preserve"> over the years</w:t>
      </w:r>
      <w:r w:rsidR="003B0621" w:rsidRPr="00A56475">
        <w:t>, such as the Guildford Four, Birmingham Six or inmates at Guantanamo Bay</w:t>
      </w:r>
      <w:r w:rsidR="0070558E" w:rsidRPr="00A56475">
        <w:t>.</w:t>
      </w:r>
      <w:r w:rsidR="00912CA1" w:rsidRPr="00A56475">
        <w:t xml:space="preserve"> </w:t>
      </w:r>
      <w:r w:rsidR="005F54DE" w:rsidRPr="00A56475">
        <w:t>S</w:t>
      </w:r>
      <w:r w:rsidR="0094568C" w:rsidRPr="00A56475">
        <w:t xml:space="preserve">ince the inception of </w:t>
      </w:r>
      <w:r w:rsidR="00913A69" w:rsidRPr="00A56475">
        <w:t xml:space="preserve">the </w:t>
      </w:r>
      <w:r w:rsidR="0094568C" w:rsidRPr="00A56475">
        <w:t xml:space="preserve">Prevention of Terrorism (Temporary Provisions) Act (PTA) in 1974, 86.9% of Irish people detained under suspicion of terrorism </w:t>
      </w:r>
      <w:r w:rsidR="009336DA" w:rsidRPr="00A56475">
        <w:t xml:space="preserve">and 53.1% of those detained under suspicion of international terrorism </w:t>
      </w:r>
      <w:r w:rsidR="0094568C" w:rsidRPr="00A56475">
        <w:t xml:space="preserve">were </w:t>
      </w:r>
      <w:r w:rsidR="009336DA" w:rsidRPr="00A56475">
        <w:t>released without charge</w:t>
      </w:r>
      <w:r w:rsidR="00FE44B6" w:rsidRPr="00A56475">
        <w:t xml:space="preserve"> (Table 1)</w:t>
      </w:r>
      <w:r w:rsidR="0094568C" w:rsidRPr="00A56475">
        <w:t xml:space="preserve">. </w:t>
      </w:r>
      <w:r w:rsidR="00912CA1" w:rsidRPr="00A56475">
        <w:t>A</w:t>
      </w:r>
      <w:r w:rsidR="0094568C" w:rsidRPr="00A56475">
        <w:t xml:space="preserve">lthough </w:t>
      </w:r>
      <w:r w:rsidR="00503B5F" w:rsidRPr="00A56475">
        <w:t xml:space="preserve">the latter are </w:t>
      </w:r>
      <w:r w:rsidR="0094568C" w:rsidRPr="00A56475">
        <w:t xml:space="preserve">not </w:t>
      </w:r>
      <w:r w:rsidR="00485221" w:rsidRPr="00A56475">
        <w:t>all</w:t>
      </w:r>
      <w:r w:rsidR="0094568C" w:rsidRPr="00A56475">
        <w:t xml:space="preserve"> </w:t>
      </w:r>
      <w:r w:rsidR="00485221" w:rsidRPr="00A56475">
        <w:t>Muslim</w:t>
      </w:r>
      <w:r w:rsidR="009A614E" w:rsidRPr="00A56475">
        <w:t>s</w:t>
      </w:r>
      <w:r w:rsidR="0094568C" w:rsidRPr="00A56475">
        <w:t xml:space="preserve">, 34 out of 42 organizations proscribed under the terms of anti-terrorist legislation have some form of </w:t>
      </w:r>
      <w:r w:rsidR="00B345E4" w:rsidRPr="00A56475">
        <w:t xml:space="preserve">agenda </w:t>
      </w:r>
      <w:r w:rsidR="003A2CF3" w:rsidRPr="00A56475">
        <w:t>they</w:t>
      </w:r>
      <w:r w:rsidR="004279FC" w:rsidRPr="00A56475">
        <w:t xml:space="preserve"> proclaim is related to Islam</w:t>
      </w:r>
      <w:r w:rsidR="00511297" w:rsidRPr="00A56475">
        <w:t xml:space="preserve"> </w:t>
      </w:r>
      <w:r w:rsidR="0094568C" w:rsidRPr="00A56475">
        <w:t xml:space="preserve">(Home Office, 2009a). </w:t>
      </w:r>
      <w:r w:rsidR="0034734E" w:rsidRPr="00A56475">
        <w:t>Also,</w:t>
      </w:r>
      <w:r w:rsidR="0094568C" w:rsidRPr="00A56475">
        <w:t xml:space="preserve"> </w:t>
      </w:r>
      <w:r w:rsidR="0003264F" w:rsidRPr="00A56475">
        <w:t>‘</w:t>
      </w:r>
      <w:r w:rsidR="0094568C" w:rsidRPr="00A56475">
        <w:t>at 31 March 2008, there were 142 extremist/terrorist prisoners in England and Wales, of which 125 were terrorism related … The majority (91%) of terrorist prisoners classified themselves as Muslims</w:t>
      </w:r>
      <w:r w:rsidR="0003264F" w:rsidRPr="00A56475">
        <w:t>’</w:t>
      </w:r>
      <w:r w:rsidR="0094568C" w:rsidRPr="00A56475">
        <w:t xml:space="preserve"> (Home Office, 2009b: 6-7). Against this backdrop, it is remarkable that little research comparing</w:t>
      </w:r>
      <w:r w:rsidR="00057912" w:rsidRPr="00A56475">
        <w:t xml:space="preserve"> </w:t>
      </w:r>
      <w:r w:rsidR="0094568C" w:rsidRPr="00A56475">
        <w:t xml:space="preserve">the social construction </w:t>
      </w:r>
      <w:r w:rsidR="00372F91" w:rsidRPr="00A56475">
        <w:t xml:space="preserve">and </w:t>
      </w:r>
      <w:r w:rsidR="00006781" w:rsidRPr="00A56475">
        <w:t xml:space="preserve">experiences </w:t>
      </w:r>
      <w:r w:rsidR="0094568C" w:rsidRPr="00A56475">
        <w:t>of Irish and Muslim communities</w:t>
      </w:r>
      <w:r w:rsidR="003D27AF" w:rsidRPr="00A56475">
        <w:t xml:space="preserve"> </w:t>
      </w:r>
      <w:r w:rsidR="00BA5260" w:rsidRPr="00A56475">
        <w:t xml:space="preserve">in Britain </w:t>
      </w:r>
      <w:r w:rsidR="003D27AF" w:rsidRPr="00A56475">
        <w:t>has been carried out</w:t>
      </w:r>
      <w:r w:rsidR="00E30308">
        <w:t xml:space="preserve">, with </w:t>
      </w:r>
      <w:r w:rsidR="0094568C" w:rsidRPr="00A56475">
        <w:t xml:space="preserve">research </w:t>
      </w:r>
      <w:r w:rsidR="00E30308">
        <w:t xml:space="preserve">tending to </w:t>
      </w:r>
      <w:r w:rsidR="004E6F44" w:rsidRPr="00A56475">
        <w:t xml:space="preserve">focus </w:t>
      </w:r>
      <w:r w:rsidR="004E6F44" w:rsidRPr="00A56475">
        <w:lastRenderedPageBreak/>
        <w:t>on evaluating</w:t>
      </w:r>
      <w:r w:rsidR="0094568C" w:rsidRPr="00A56475">
        <w:t xml:space="preserve"> anti-terrorism legislation (Greer, 2008; Pantazis and Pemberton, 2009; Peirce, 2008).</w:t>
      </w:r>
    </w:p>
    <w:p w:rsidR="0094568C" w:rsidRPr="00A56475" w:rsidRDefault="0094568C" w:rsidP="008F7BE2">
      <w:pPr>
        <w:suppressAutoHyphens w:val="0"/>
        <w:spacing w:line="480" w:lineRule="auto"/>
        <w:jc w:val="both"/>
      </w:pPr>
    </w:p>
    <w:p w:rsidR="0094568C" w:rsidRPr="00A56475" w:rsidRDefault="0094568C" w:rsidP="008F7BE2">
      <w:pPr>
        <w:suppressAutoHyphens w:val="0"/>
        <w:spacing w:line="480" w:lineRule="auto"/>
        <w:jc w:val="both"/>
      </w:pPr>
      <w:r w:rsidRPr="00A56475">
        <w:t>TABLE 1 ABOUT HERE</w:t>
      </w:r>
    </w:p>
    <w:p w:rsidR="0094568C" w:rsidRPr="00A56475" w:rsidRDefault="0094568C" w:rsidP="008F7BE2">
      <w:pPr>
        <w:suppressAutoHyphens w:val="0"/>
        <w:spacing w:line="480" w:lineRule="auto"/>
        <w:jc w:val="both"/>
        <w:rPr>
          <w:b/>
          <w:bCs/>
        </w:rPr>
      </w:pPr>
    </w:p>
    <w:p w:rsidR="005D2C0D" w:rsidRPr="00A56475" w:rsidRDefault="005634BB" w:rsidP="008F7BE2">
      <w:pPr>
        <w:suppressAutoHyphens w:val="0"/>
        <w:spacing w:line="480" w:lineRule="auto"/>
        <w:ind w:firstLine="720"/>
        <w:jc w:val="both"/>
      </w:pPr>
      <w:r w:rsidRPr="00A56475">
        <w:t xml:space="preserve">So far, </w:t>
      </w:r>
      <w:r w:rsidR="008D53F3" w:rsidRPr="00A56475">
        <w:t xml:space="preserve">research </w:t>
      </w:r>
      <w:r w:rsidR="00BF22E8" w:rsidRPr="00A56475">
        <w:t xml:space="preserve">has </w:t>
      </w:r>
      <w:r w:rsidR="00D531F7" w:rsidRPr="00A56475">
        <w:t>focused</w:t>
      </w:r>
      <w:r w:rsidR="00BF22E8" w:rsidRPr="00A56475">
        <w:t xml:space="preserve"> on </w:t>
      </w:r>
      <w:r w:rsidR="00904131" w:rsidRPr="00A56475">
        <w:t xml:space="preserve">one or other </w:t>
      </w:r>
      <w:r w:rsidR="00BF22E8" w:rsidRPr="00A56475">
        <w:t>of these communities</w:t>
      </w:r>
      <w:r w:rsidR="00D21715" w:rsidRPr="00A56475">
        <w:t>, with particular emphasis on Muslims</w:t>
      </w:r>
      <w:r w:rsidR="00EB216B" w:rsidRPr="00A56475">
        <w:t xml:space="preserve"> in the current period</w:t>
      </w:r>
      <w:r w:rsidR="00D21715" w:rsidRPr="00A56475">
        <w:t>.</w:t>
      </w:r>
      <w:r w:rsidR="00731268" w:rsidRPr="00A56475">
        <w:t xml:space="preserve"> </w:t>
      </w:r>
      <w:r w:rsidR="004B4A93" w:rsidRPr="00A56475">
        <w:t>The focus of investigation has been on</w:t>
      </w:r>
      <w:r w:rsidR="00F211BC" w:rsidRPr="00A56475">
        <w:t xml:space="preserve"> </w:t>
      </w:r>
      <w:r w:rsidR="00BF22E8" w:rsidRPr="00A56475">
        <w:t xml:space="preserve">terrorism and political violence </w:t>
      </w:r>
      <w:r w:rsidR="00B76EB2" w:rsidRPr="00A56475">
        <w:t>(English, 2003</w:t>
      </w:r>
      <w:r w:rsidR="002857E0" w:rsidRPr="00A56475">
        <w:t>; Jackson, 2005</w:t>
      </w:r>
      <w:r w:rsidR="00B76EB2" w:rsidRPr="00A56475">
        <w:t>)</w:t>
      </w:r>
      <w:r w:rsidR="0070558E" w:rsidRPr="00A56475">
        <w:t xml:space="preserve">; violence connected to </w:t>
      </w:r>
      <w:r w:rsidR="0070558E" w:rsidRPr="00A56475">
        <w:rPr>
          <w:u w:val="single"/>
        </w:rPr>
        <w:t>Islamism</w:t>
      </w:r>
      <w:r w:rsidR="00FC2E4D" w:rsidRPr="00A56475">
        <w:t xml:space="preserve"> (Abbas, 2007)</w:t>
      </w:r>
      <w:r w:rsidR="0070558E" w:rsidRPr="00A56475">
        <w:t>; terrorist thr</w:t>
      </w:r>
      <w:r w:rsidR="00CB3F5A" w:rsidRPr="00A56475">
        <w:t xml:space="preserve">eats and state responses </w:t>
      </w:r>
      <w:r w:rsidR="00497AFC" w:rsidRPr="00A56475">
        <w:t xml:space="preserve">to them </w:t>
      </w:r>
      <w:r w:rsidR="00AE0B12" w:rsidRPr="00A56475">
        <w:t xml:space="preserve">(Briggs et al., 2006; </w:t>
      </w:r>
      <w:r w:rsidR="005C513B" w:rsidRPr="00A56475">
        <w:t xml:space="preserve">Clutterbuck, 2006; </w:t>
      </w:r>
      <w:r w:rsidR="00BA0905" w:rsidRPr="00A56475">
        <w:t>Wilkinson, 2001</w:t>
      </w:r>
      <w:r w:rsidR="00AE0B12" w:rsidRPr="00A56475">
        <w:t>)</w:t>
      </w:r>
      <w:r w:rsidR="0070558E" w:rsidRPr="00A56475">
        <w:t>; the relationship between violence and religious beliefs</w:t>
      </w:r>
      <w:r w:rsidR="00761828" w:rsidRPr="00A56475">
        <w:t xml:space="preserve"> (</w:t>
      </w:r>
      <w:r w:rsidR="00AE0B12" w:rsidRPr="00A56475">
        <w:t>Stern, 2004)</w:t>
      </w:r>
      <w:r w:rsidR="0070558E" w:rsidRPr="00A56475">
        <w:t xml:space="preserve">; or the curtailment of civil liberties </w:t>
      </w:r>
      <w:r w:rsidR="008B1C3D" w:rsidRPr="00A56475">
        <w:t xml:space="preserve">and human rights </w:t>
      </w:r>
      <w:r w:rsidR="002104E4" w:rsidRPr="00A56475">
        <w:t xml:space="preserve">in the context of counterterrorism </w:t>
      </w:r>
      <w:r w:rsidR="00F50506" w:rsidRPr="00A56475">
        <w:t>(</w:t>
      </w:r>
      <w:r w:rsidR="00F50506" w:rsidRPr="00A56475">
        <w:rPr>
          <w:rStyle w:val="A1"/>
          <w:sz w:val="24"/>
          <w:szCs w:val="24"/>
        </w:rPr>
        <w:t>Blick et al., 2006;</w:t>
      </w:r>
      <w:r w:rsidR="00F50506" w:rsidRPr="00A56475">
        <w:t xml:space="preserve"> Hillyard, 1993).</w:t>
      </w:r>
      <w:r w:rsidR="0094568C" w:rsidRPr="00A56475">
        <w:t xml:space="preserve"> </w:t>
      </w:r>
      <w:r w:rsidR="00236CA5" w:rsidRPr="00A56475">
        <w:t xml:space="preserve">The </w:t>
      </w:r>
      <w:r w:rsidR="00BE12D4" w:rsidRPr="00A56475">
        <w:t>dearth</w:t>
      </w:r>
      <w:r w:rsidR="00236CA5" w:rsidRPr="00A56475">
        <w:t xml:space="preserve"> </w:t>
      </w:r>
      <w:r w:rsidR="00EB216B" w:rsidRPr="00A56475">
        <w:t>in</w:t>
      </w:r>
      <w:r w:rsidR="00236CA5" w:rsidRPr="00A56475">
        <w:t xml:space="preserve"> comparative research is </w:t>
      </w:r>
      <w:r w:rsidR="00BE12D4" w:rsidRPr="00A56475">
        <w:t xml:space="preserve">also </w:t>
      </w:r>
      <w:r w:rsidR="00236CA5" w:rsidRPr="00A56475">
        <w:t xml:space="preserve">evidenced in </w:t>
      </w:r>
      <w:r w:rsidR="004765BF" w:rsidRPr="00A56475">
        <w:t>studies</w:t>
      </w:r>
      <w:r w:rsidR="000B130D" w:rsidRPr="00A56475">
        <w:t xml:space="preserve"> </w:t>
      </w:r>
      <w:r w:rsidR="00EB216B" w:rsidRPr="00A56475">
        <w:t>on the representation of Muslims in the British media</w:t>
      </w:r>
      <w:r w:rsidR="006C18C4" w:rsidRPr="00A56475">
        <w:t xml:space="preserve"> (Moore et al., 2008; Poole, 2002; Poole and Richardson, 2006; Richardson, 2001, 2004)</w:t>
      </w:r>
      <w:r w:rsidR="00AD6C2B" w:rsidRPr="00A56475">
        <w:t xml:space="preserve"> often </w:t>
      </w:r>
      <w:r w:rsidR="00F211BC" w:rsidRPr="00A56475">
        <w:t>referenc</w:t>
      </w:r>
      <w:r w:rsidR="00AD6C2B" w:rsidRPr="00A56475">
        <w:t xml:space="preserve">ing </w:t>
      </w:r>
      <w:r w:rsidR="00BC1843" w:rsidRPr="00A56475">
        <w:t>little</w:t>
      </w:r>
      <w:r w:rsidR="00AD6C2B" w:rsidRPr="00A56475">
        <w:t xml:space="preserve"> </w:t>
      </w:r>
      <w:r w:rsidR="00FB2FF3" w:rsidRPr="00A56475">
        <w:t xml:space="preserve">previous </w:t>
      </w:r>
      <w:r w:rsidR="000B130D" w:rsidRPr="00A56475">
        <w:t xml:space="preserve">work </w:t>
      </w:r>
      <w:r w:rsidR="00FB2FF3" w:rsidRPr="00A56475">
        <w:t xml:space="preserve">done </w:t>
      </w:r>
      <w:r w:rsidR="000D1E36" w:rsidRPr="00A56475">
        <w:t xml:space="preserve">in </w:t>
      </w:r>
      <w:r w:rsidR="008C6688" w:rsidRPr="00A56475">
        <w:t xml:space="preserve">the </w:t>
      </w:r>
      <w:r w:rsidR="00236CA5" w:rsidRPr="00A56475">
        <w:t>Irish</w:t>
      </w:r>
      <w:r w:rsidR="008C6688" w:rsidRPr="00A56475">
        <w:t xml:space="preserve"> context</w:t>
      </w:r>
      <w:r w:rsidR="00F83551" w:rsidRPr="00A56475">
        <w:t xml:space="preserve"> (e.g. Miller, 1994)</w:t>
      </w:r>
      <w:r w:rsidR="000625E8" w:rsidRPr="00A56475">
        <w:t xml:space="preserve">. </w:t>
      </w:r>
      <w:r w:rsidR="007E17FF" w:rsidRPr="00A56475">
        <w:t>Nonetheless</w:t>
      </w:r>
      <w:r w:rsidR="00ED55AD" w:rsidRPr="00A56475">
        <w:t xml:space="preserve">, </w:t>
      </w:r>
      <w:r w:rsidR="008D2C03" w:rsidRPr="00A56475">
        <w:t xml:space="preserve">research </w:t>
      </w:r>
      <w:r w:rsidR="009A4CAC" w:rsidRPr="00A56475">
        <w:t>on</w:t>
      </w:r>
      <w:r w:rsidR="00EA1DD1" w:rsidRPr="00A56475">
        <w:t xml:space="preserve"> </w:t>
      </w:r>
      <w:r w:rsidR="00FE5A9C" w:rsidRPr="00A56475">
        <w:t xml:space="preserve">the </w:t>
      </w:r>
      <w:r w:rsidR="00D143C8" w:rsidRPr="00A56475">
        <w:t>media</w:t>
      </w:r>
      <w:r w:rsidR="00EA1DD1" w:rsidRPr="00A56475">
        <w:t xml:space="preserve"> </w:t>
      </w:r>
      <w:r w:rsidR="00FE5A9C" w:rsidRPr="00A56475">
        <w:t>has</w:t>
      </w:r>
      <w:r w:rsidR="00ED55AD" w:rsidRPr="00A56475">
        <w:t xml:space="preserve"> </w:t>
      </w:r>
      <w:r w:rsidR="00FE5A9C" w:rsidRPr="00A56475">
        <w:t xml:space="preserve">shown that Irish and Muslim communities </w:t>
      </w:r>
      <w:r w:rsidR="008D2C03" w:rsidRPr="00A56475">
        <w:t xml:space="preserve">are often </w:t>
      </w:r>
      <w:r w:rsidR="000E6741" w:rsidRPr="00A56475">
        <w:t>represented</w:t>
      </w:r>
      <w:r w:rsidR="008D2C03" w:rsidRPr="00A56475">
        <w:t xml:space="preserve"> </w:t>
      </w:r>
      <w:r w:rsidR="005D43F0" w:rsidRPr="00A56475">
        <w:t>neg</w:t>
      </w:r>
      <w:r w:rsidR="008D2C03" w:rsidRPr="00A56475">
        <w:t>ative</w:t>
      </w:r>
      <w:r w:rsidR="0082356E" w:rsidRPr="00A56475">
        <w:t>ly</w:t>
      </w:r>
      <w:r w:rsidR="005D43F0" w:rsidRPr="00A56475">
        <w:t xml:space="preserve">, </w:t>
      </w:r>
      <w:r w:rsidR="00E50505" w:rsidRPr="00A56475">
        <w:t xml:space="preserve">which contributes to their </w:t>
      </w:r>
      <w:r w:rsidR="008D2C03" w:rsidRPr="00A56475">
        <w:t>construct</w:t>
      </w:r>
      <w:r w:rsidR="005D43F0" w:rsidRPr="00A56475">
        <w:t>i</w:t>
      </w:r>
      <w:r w:rsidR="00E50505" w:rsidRPr="00A56475">
        <w:t>o</w:t>
      </w:r>
      <w:r w:rsidR="005D43F0" w:rsidRPr="00A56475">
        <w:t>n</w:t>
      </w:r>
      <w:r w:rsidR="00F3483B" w:rsidRPr="00A56475">
        <w:t xml:space="preserve"> as </w:t>
      </w:r>
      <w:r w:rsidR="00820660" w:rsidRPr="00A56475">
        <w:t>“</w:t>
      </w:r>
      <w:r w:rsidR="00F3483B" w:rsidRPr="00A56475">
        <w:t>suspect</w:t>
      </w:r>
      <w:r w:rsidR="00820660" w:rsidRPr="00A56475">
        <w:t>”</w:t>
      </w:r>
      <w:r w:rsidR="00E50505" w:rsidRPr="00A56475">
        <w:t xml:space="preserve">, </w:t>
      </w:r>
      <w:r w:rsidR="00966B72" w:rsidRPr="00A56475">
        <w:t>as a threat</w:t>
      </w:r>
      <w:r w:rsidR="0045044E" w:rsidRPr="00A56475">
        <w:t>,</w:t>
      </w:r>
      <w:r w:rsidR="00966B72" w:rsidRPr="00A56475">
        <w:t xml:space="preserve"> </w:t>
      </w:r>
      <w:r w:rsidR="00820660" w:rsidRPr="00A56475">
        <w:t>or</w:t>
      </w:r>
      <w:r w:rsidR="003A0A5C" w:rsidRPr="00A56475">
        <w:t xml:space="preserve"> </w:t>
      </w:r>
      <w:r w:rsidR="00E50505" w:rsidRPr="00A56475">
        <w:t xml:space="preserve">as </w:t>
      </w:r>
      <w:r w:rsidR="003A0A5C" w:rsidRPr="00A56475">
        <w:t>a security challenge</w:t>
      </w:r>
      <w:r w:rsidR="00DA27A9" w:rsidRPr="00A56475">
        <w:t xml:space="preserve"> </w:t>
      </w:r>
      <w:r w:rsidR="00966B72" w:rsidRPr="00A56475">
        <w:t>(</w:t>
      </w:r>
      <w:r w:rsidR="002E5FBD" w:rsidRPr="00A56475">
        <w:rPr>
          <w:color w:val="000000"/>
          <w:shd w:val="clear" w:color="auto" w:fill="FFFFFF"/>
        </w:rPr>
        <w:t>Ameli et al., 200</w:t>
      </w:r>
      <w:r w:rsidR="003D1C32" w:rsidRPr="00A56475">
        <w:rPr>
          <w:color w:val="000000"/>
          <w:shd w:val="clear" w:color="auto" w:fill="FFFFFF"/>
        </w:rPr>
        <w:t>7</w:t>
      </w:r>
      <w:r w:rsidR="002E5FBD" w:rsidRPr="00A56475">
        <w:rPr>
          <w:color w:val="000000"/>
          <w:shd w:val="clear" w:color="auto" w:fill="FFFFFF"/>
        </w:rPr>
        <w:t xml:space="preserve">; </w:t>
      </w:r>
      <w:r w:rsidR="003736BC" w:rsidRPr="00A56475">
        <w:rPr>
          <w:color w:val="000000"/>
          <w:shd w:val="clear" w:color="auto" w:fill="FFFFFF"/>
        </w:rPr>
        <w:t xml:space="preserve">Ansari, 2004; Brighton, 2007; </w:t>
      </w:r>
      <w:r w:rsidR="008A226C" w:rsidRPr="00A56475">
        <w:t xml:space="preserve">Brown, 2006; Cesari, 2006; </w:t>
      </w:r>
      <w:r w:rsidR="00B56F88" w:rsidRPr="00A56475">
        <w:t>Curtis</w:t>
      </w:r>
      <w:r w:rsidR="00CE656C" w:rsidRPr="00A56475">
        <w:t xml:space="preserve">, </w:t>
      </w:r>
      <w:r w:rsidR="00B56F88" w:rsidRPr="00A56475">
        <w:t xml:space="preserve">1998; </w:t>
      </w:r>
      <w:r w:rsidR="008A226C" w:rsidRPr="00A56475">
        <w:t>Curtis Jr., 1997;</w:t>
      </w:r>
      <w:r w:rsidR="003736BC" w:rsidRPr="00A56475">
        <w:rPr>
          <w:color w:val="000000"/>
          <w:shd w:val="clear" w:color="auto" w:fill="FFFFFF"/>
        </w:rPr>
        <w:t xml:space="preserve"> Eatwell, 2006; Esposito, 1995;</w:t>
      </w:r>
      <w:r w:rsidR="008A226C" w:rsidRPr="00A56475">
        <w:t xml:space="preserve"> </w:t>
      </w:r>
      <w:r w:rsidR="000A08EA" w:rsidRPr="00A56475">
        <w:t xml:space="preserve">Flood et al., 2011; </w:t>
      </w:r>
      <w:r w:rsidR="00922A9C" w:rsidRPr="00A56475">
        <w:t xml:space="preserve">Foster, 1993; </w:t>
      </w:r>
      <w:r w:rsidR="002163CE" w:rsidRPr="00A56475">
        <w:rPr>
          <w:color w:val="000000"/>
          <w:shd w:val="clear" w:color="auto" w:fill="FFFFFF"/>
        </w:rPr>
        <w:t>Halliday, 2003</w:t>
      </w:r>
      <w:r w:rsidR="003736BC" w:rsidRPr="00A56475">
        <w:rPr>
          <w:color w:val="000000"/>
          <w:shd w:val="clear" w:color="auto" w:fill="FFFFFF"/>
        </w:rPr>
        <w:t>;</w:t>
      </w:r>
      <w:r w:rsidR="003736BC" w:rsidRPr="00A56475">
        <w:t xml:space="preserve"> Jacoby and Yavuz, 2008;</w:t>
      </w:r>
      <w:r w:rsidR="006D0462" w:rsidRPr="00A56475">
        <w:rPr>
          <w:color w:val="000000"/>
          <w:shd w:val="clear" w:color="auto" w:fill="FFFFFF"/>
        </w:rPr>
        <w:t xml:space="preserve"> </w:t>
      </w:r>
      <w:r w:rsidR="003736BC" w:rsidRPr="00A56475">
        <w:rPr>
          <w:color w:val="000000"/>
          <w:shd w:val="clear" w:color="auto" w:fill="FFFFFF"/>
        </w:rPr>
        <w:t>Kyriakides et al., 2009</w:t>
      </w:r>
      <w:r w:rsidR="000A08EA" w:rsidRPr="00A56475">
        <w:t>;</w:t>
      </w:r>
      <w:r w:rsidR="006A3B3C" w:rsidRPr="00A56475">
        <w:t xml:space="preserve"> </w:t>
      </w:r>
      <w:r w:rsidR="000A08EA" w:rsidRPr="00A56475">
        <w:t xml:space="preserve">Moore et al., 2008; </w:t>
      </w:r>
      <w:r w:rsidR="004034B8" w:rsidRPr="00A56475">
        <w:t xml:space="preserve">Morgan, 1997; </w:t>
      </w:r>
      <w:r w:rsidR="000A08EA" w:rsidRPr="00A56475">
        <w:t xml:space="preserve">Poole, 2002; Poole and Richardson, 2006; Richardson, </w:t>
      </w:r>
      <w:r w:rsidR="00793618" w:rsidRPr="00A56475">
        <w:t>2001</w:t>
      </w:r>
      <w:r w:rsidR="006C241C" w:rsidRPr="00A56475">
        <w:t xml:space="preserve">, </w:t>
      </w:r>
      <w:r w:rsidR="00793618" w:rsidRPr="00A56475">
        <w:t>2004</w:t>
      </w:r>
      <w:r w:rsidR="00B2574C" w:rsidRPr="00A56475">
        <w:t xml:space="preserve">; </w:t>
      </w:r>
      <w:r w:rsidR="003736BC" w:rsidRPr="00A56475">
        <w:rPr>
          <w:color w:val="000000"/>
        </w:rPr>
        <w:t>Said, 1981</w:t>
      </w:r>
      <w:r w:rsidR="003736BC" w:rsidRPr="00A56475">
        <w:rPr>
          <w:color w:val="000000"/>
          <w:shd w:val="clear" w:color="auto" w:fill="FFFFFF"/>
        </w:rPr>
        <w:t>;</w:t>
      </w:r>
      <w:r w:rsidR="00987040" w:rsidRPr="00A56475">
        <w:rPr>
          <w:color w:val="000000"/>
          <w:shd w:val="clear" w:color="auto" w:fill="FFFFFF"/>
        </w:rPr>
        <w:t xml:space="preserve"> </w:t>
      </w:r>
      <w:r w:rsidR="00B2574C" w:rsidRPr="00A56475">
        <w:t>Schlesinger, 1992</w:t>
      </w:r>
      <w:r w:rsidR="003736BC" w:rsidRPr="00A56475">
        <w:t xml:space="preserve">; </w:t>
      </w:r>
      <w:r w:rsidR="003736BC" w:rsidRPr="00A56475">
        <w:rPr>
          <w:color w:val="000000"/>
          <w:shd w:val="clear" w:color="auto" w:fill="FFFFFF"/>
        </w:rPr>
        <w:t>Werbner, 2000</w:t>
      </w:r>
      <w:r w:rsidR="000A08EA" w:rsidRPr="00A56475">
        <w:t>).</w:t>
      </w:r>
      <w:r w:rsidR="00A31A6E" w:rsidRPr="00A56475">
        <w:t xml:space="preserve"> </w:t>
      </w:r>
      <w:r w:rsidR="00054D7E" w:rsidRPr="00A56475">
        <w:t xml:space="preserve">However, </w:t>
      </w:r>
      <w:r w:rsidR="002F7632" w:rsidRPr="00A56475">
        <w:t>according to Statham (2002: 407)</w:t>
      </w:r>
      <w:r w:rsidR="009A2CCC" w:rsidRPr="00A56475">
        <w:t>,</w:t>
      </w:r>
      <w:r w:rsidR="002F7632" w:rsidRPr="00A56475">
        <w:t xml:space="preserve"> </w:t>
      </w:r>
      <w:r w:rsidR="00B76EA0" w:rsidRPr="00A56475">
        <w:t xml:space="preserve">research pre-dating 9/11 </w:t>
      </w:r>
      <w:r w:rsidR="009A2CCC" w:rsidRPr="00A56475">
        <w:t>suggests</w:t>
      </w:r>
      <w:r w:rsidR="005B6E0F" w:rsidRPr="00A56475">
        <w:t xml:space="preserve"> that </w:t>
      </w:r>
      <w:r w:rsidR="0003264F" w:rsidRPr="00A56475">
        <w:t>‘</w:t>
      </w:r>
      <w:r w:rsidR="005B6E0F" w:rsidRPr="00A56475">
        <w:t>t</w:t>
      </w:r>
      <w:r w:rsidR="00B76EA0" w:rsidRPr="00A56475">
        <w:t xml:space="preserve">he standard </w:t>
      </w:r>
      <w:r w:rsidR="00B76EA0" w:rsidRPr="00A56475">
        <w:lastRenderedPageBreak/>
        <w:t>norm for British media reporting is in general to perpetuate anti-racist stances that are in fact in line with the official policy stance of the state on Race Relations</w:t>
      </w:r>
      <w:r w:rsidR="0003264F" w:rsidRPr="00A56475">
        <w:t>’</w:t>
      </w:r>
      <w:r w:rsidR="00B76EA0" w:rsidRPr="00A56475">
        <w:t>.</w:t>
      </w:r>
      <w:r w:rsidR="005B6E0F" w:rsidRPr="00A56475">
        <w:t xml:space="preserve"> </w:t>
      </w:r>
      <w:r w:rsidR="009E45E9" w:rsidRPr="00A56475">
        <w:t>That is why</w:t>
      </w:r>
      <w:r w:rsidR="00054D7E" w:rsidRPr="00A56475">
        <w:t xml:space="preserve"> we follow</w:t>
      </w:r>
      <w:r w:rsidR="007E148C" w:rsidRPr="00A56475">
        <w:t>ed</w:t>
      </w:r>
      <w:r w:rsidR="00054D7E" w:rsidRPr="00A56475">
        <w:t xml:space="preserve"> </w:t>
      </w:r>
      <w:r w:rsidR="002F7632" w:rsidRPr="00A56475">
        <w:t xml:space="preserve">his </w:t>
      </w:r>
      <w:r w:rsidR="00054D7E" w:rsidRPr="00A56475">
        <w:t xml:space="preserve">recommendation that to escape </w:t>
      </w:r>
      <w:r w:rsidR="0003264F" w:rsidRPr="00A56475">
        <w:t>‘</w:t>
      </w:r>
      <w:r w:rsidR="00054D7E" w:rsidRPr="00A56475">
        <w:t>the tautological proposition perpetuated by cultural studies that the media is always racist</w:t>
      </w:r>
      <w:r w:rsidR="0003264F" w:rsidRPr="00A56475">
        <w:t>’</w:t>
      </w:r>
      <w:r w:rsidR="00054D7E" w:rsidRPr="00A56475">
        <w:t xml:space="preserve">, there is a need for </w:t>
      </w:r>
      <w:r w:rsidR="0003264F" w:rsidRPr="00A56475">
        <w:t>‘</w:t>
      </w:r>
      <w:r w:rsidR="00054D7E" w:rsidRPr="00A56475">
        <w:t>empirical studies, that over time … chart and analyse the thematic contents of the messages carried by the media when covering issues rela</w:t>
      </w:r>
      <w:r w:rsidR="002F7632" w:rsidRPr="00A56475">
        <w:t>ting to migrants and minorities</w:t>
      </w:r>
      <w:r w:rsidR="0003264F" w:rsidRPr="00A56475">
        <w:t>’</w:t>
      </w:r>
      <w:r w:rsidR="002F7632" w:rsidRPr="00A56475">
        <w:t xml:space="preserve"> (p. 397).</w:t>
      </w:r>
      <w:r w:rsidR="00054D7E" w:rsidRPr="00A56475">
        <w:t xml:space="preserve"> </w:t>
      </w:r>
      <w:r w:rsidR="00587E41" w:rsidRPr="00A56475">
        <w:t>In doing so, we</w:t>
      </w:r>
      <w:r w:rsidR="002403BC" w:rsidRPr="00A56475">
        <w:t xml:space="preserve"> </w:t>
      </w:r>
      <w:r w:rsidR="005D2C0D" w:rsidRPr="00A56475">
        <w:t>aim</w:t>
      </w:r>
      <w:r w:rsidR="00CA598E" w:rsidRPr="00A56475">
        <w:t>ed</w:t>
      </w:r>
      <w:r w:rsidR="005D2C0D" w:rsidRPr="00A56475">
        <w:t xml:space="preserve"> to make connections between coverage of events involving Irish and Muslim</w:t>
      </w:r>
      <w:r w:rsidR="003A0DA1" w:rsidRPr="00A56475">
        <w:t xml:space="preserve"> communities</w:t>
      </w:r>
      <w:r w:rsidR="005D2C0D" w:rsidRPr="00A56475">
        <w:t xml:space="preserve"> and to examine the construction of these</w:t>
      </w:r>
      <w:r w:rsidR="003A0DA1" w:rsidRPr="00A56475">
        <w:t xml:space="preserve"> communities</w:t>
      </w:r>
      <w:r w:rsidR="005D2C0D" w:rsidRPr="00A56475">
        <w:t xml:space="preserve"> as </w:t>
      </w:r>
      <w:r w:rsidR="00AA5F01" w:rsidRPr="00A56475">
        <w:t>“suspect”</w:t>
      </w:r>
      <w:r w:rsidR="005D2C0D" w:rsidRPr="00A56475">
        <w:t xml:space="preserve"> in </w:t>
      </w:r>
      <w:r w:rsidR="00236F6C" w:rsidRPr="00A56475">
        <w:t xml:space="preserve">the </w:t>
      </w:r>
      <w:r w:rsidR="00EA26A0" w:rsidRPr="00A56475">
        <w:t>British</w:t>
      </w:r>
      <w:r w:rsidR="00B956A1" w:rsidRPr="00A56475">
        <w:t xml:space="preserve"> press </w:t>
      </w:r>
      <w:r w:rsidR="00054D7E" w:rsidRPr="00A56475">
        <w:t>between 1974 and 2007.</w:t>
      </w:r>
    </w:p>
    <w:p w:rsidR="00F7068D" w:rsidRPr="00A56475" w:rsidRDefault="00F7068D" w:rsidP="008F7BE2">
      <w:pPr>
        <w:suppressAutoHyphens w:val="0"/>
        <w:spacing w:line="480" w:lineRule="auto"/>
        <w:jc w:val="both"/>
        <w:rPr>
          <w:b/>
          <w:bCs/>
        </w:rPr>
      </w:pPr>
      <w:bookmarkStart w:id="1" w:name="_Toc233005639"/>
    </w:p>
    <w:p w:rsidR="00244B70" w:rsidRPr="00A56475" w:rsidRDefault="00845190" w:rsidP="008F7BE2">
      <w:pPr>
        <w:suppressAutoHyphens w:val="0"/>
        <w:spacing w:line="480" w:lineRule="auto"/>
        <w:jc w:val="both"/>
        <w:rPr>
          <w:b/>
          <w:bCs/>
        </w:rPr>
      </w:pPr>
      <w:r w:rsidRPr="00A56475">
        <w:rPr>
          <w:b/>
          <w:bCs/>
        </w:rPr>
        <w:t>Irish and Muslim</w:t>
      </w:r>
      <w:r w:rsidR="003A0DA1" w:rsidRPr="00A56475">
        <w:rPr>
          <w:b/>
          <w:bCs/>
        </w:rPr>
        <w:t xml:space="preserve"> communities</w:t>
      </w:r>
      <w:r w:rsidRPr="00A56475">
        <w:rPr>
          <w:b/>
          <w:bCs/>
        </w:rPr>
        <w:t xml:space="preserve"> in the </w:t>
      </w:r>
      <w:r w:rsidR="000B51F2" w:rsidRPr="00A56475">
        <w:rPr>
          <w:b/>
          <w:bCs/>
        </w:rPr>
        <w:t xml:space="preserve">British </w:t>
      </w:r>
      <w:r w:rsidRPr="00A56475">
        <w:rPr>
          <w:b/>
          <w:bCs/>
        </w:rPr>
        <w:t>press, 1974-2007</w:t>
      </w:r>
      <w:bookmarkEnd w:id="1"/>
    </w:p>
    <w:p w:rsidR="002C0C68" w:rsidRPr="00A56475" w:rsidRDefault="002C0C68" w:rsidP="008F7BE2">
      <w:pPr>
        <w:suppressAutoHyphens w:val="0"/>
        <w:spacing w:line="480" w:lineRule="auto"/>
        <w:jc w:val="both"/>
      </w:pPr>
    </w:p>
    <w:p w:rsidR="00EE366F" w:rsidRDefault="00537FE4" w:rsidP="008F7BE2">
      <w:pPr>
        <w:suppressAutoHyphens w:val="0"/>
        <w:spacing w:line="480" w:lineRule="auto"/>
        <w:ind w:firstLine="720"/>
        <w:jc w:val="both"/>
      </w:pPr>
      <w:r w:rsidRPr="00A56475">
        <w:t xml:space="preserve">Our analysis of newspaper coverage focuses on </w:t>
      </w:r>
      <w:r w:rsidR="00655CEF" w:rsidRPr="00A56475">
        <w:t xml:space="preserve">19 </w:t>
      </w:r>
      <w:r w:rsidRPr="00A56475">
        <w:t xml:space="preserve">events </w:t>
      </w:r>
      <w:r w:rsidR="000018A4" w:rsidRPr="00A56475">
        <w:t>(</w:t>
      </w:r>
      <w:r w:rsidR="007764A8" w:rsidRPr="00A56475">
        <w:t>Table 2</w:t>
      </w:r>
      <w:r w:rsidR="00244B70" w:rsidRPr="00A56475">
        <w:t>)</w:t>
      </w:r>
      <w:r w:rsidR="00484A56" w:rsidRPr="00A56475">
        <w:t>, which</w:t>
      </w:r>
      <w:r w:rsidR="006344CC" w:rsidRPr="00A56475">
        <w:t xml:space="preserve"> we hypothesize</w:t>
      </w:r>
      <w:r w:rsidR="00560C3F" w:rsidRPr="00A56475">
        <w:t>d</w:t>
      </w:r>
      <w:r w:rsidR="00D40A35" w:rsidRPr="00A56475">
        <w:t xml:space="preserve"> were </w:t>
      </w:r>
      <w:r w:rsidR="006A45BB" w:rsidRPr="00A56475">
        <w:t>catalysts for the emergence and</w:t>
      </w:r>
      <w:r w:rsidR="00244B70" w:rsidRPr="00A56475">
        <w:t xml:space="preserve"> recycling of multiple and sometimes contradictory discourses relating to</w:t>
      </w:r>
      <w:r w:rsidR="00295E6A" w:rsidRPr="00A56475">
        <w:t xml:space="preserve"> the perceived threat posed to British civil society and its values by Irish and Muslim</w:t>
      </w:r>
      <w:r w:rsidR="003A0DA1" w:rsidRPr="00A56475">
        <w:t xml:space="preserve"> communities</w:t>
      </w:r>
      <w:r w:rsidR="00244B70" w:rsidRPr="00A56475">
        <w:t>. We analyzed coverage in the national press (</w:t>
      </w:r>
      <w:r w:rsidR="00AB5735" w:rsidRPr="00A56475">
        <w:rPr>
          <w:u w:val="single"/>
        </w:rPr>
        <w:t>Daily Mail</w:t>
      </w:r>
      <w:r w:rsidR="00366AAD" w:rsidRPr="00A56475">
        <w:t>/</w:t>
      </w:r>
      <w:r w:rsidR="00AB5735" w:rsidRPr="00A56475">
        <w:rPr>
          <w:u w:val="single"/>
        </w:rPr>
        <w:t>Mail on Sunday</w:t>
      </w:r>
      <w:r w:rsidR="00244B70" w:rsidRPr="00A56475">
        <w:t xml:space="preserve">, </w:t>
      </w:r>
      <w:r w:rsidR="00AB5735" w:rsidRPr="00A56475">
        <w:rPr>
          <w:u w:val="single"/>
        </w:rPr>
        <w:t>Daily Telegraph</w:t>
      </w:r>
      <w:r w:rsidR="00366AAD" w:rsidRPr="00A56475">
        <w:t>/</w:t>
      </w:r>
      <w:r w:rsidR="00AB5735" w:rsidRPr="00A56475">
        <w:rPr>
          <w:u w:val="single"/>
        </w:rPr>
        <w:t>Sunday Telegraph</w:t>
      </w:r>
      <w:r w:rsidR="00244B70" w:rsidRPr="00A56475">
        <w:t xml:space="preserve">, </w:t>
      </w:r>
      <w:r w:rsidR="00AB5735" w:rsidRPr="00A56475">
        <w:rPr>
          <w:u w:val="single"/>
        </w:rPr>
        <w:t>Guardia</w:t>
      </w:r>
      <w:r w:rsidR="002C4C7C" w:rsidRPr="00A56475">
        <w:rPr>
          <w:u w:val="single"/>
        </w:rPr>
        <w:t>n</w:t>
      </w:r>
      <w:r w:rsidR="00366AAD" w:rsidRPr="00A56475">
        <w:t>/</w:t>
      </w:r>
      <w:r w:rsidR="00AB5735" w:rsidRPr="00A56475">
        <w:rPr>
          <w:u w:val="single"/>
        </w:rPr>
        <w:t>Observer</w:t>
      </w:r>
      <w:r w:rsidR="00244B70" w:rsidRPr="00A56475">
        <w:t xml:space="preserve">, </w:t>
      </w:r>
      <w:r w:rsidR="00AB5735" w:rsidRPr="00A56475">
        <w:rPr>
          <w:u w:val="single"/>
        </w:rPr>
        <w:t>Sun</w:t>
      </w:r>
      <w:r w:rsidR="00366AAD" w:rsidRPr="00A56475">
        <w:t>/</w:t>
      </w:r>
      <w:r w:rsidR="00AB5735" w:rsidRPr="00A56475">
        <w:rPr>
          <w:u w:val="single"/>
        </w:rPr>
        <w:t>News of the World</w:t>
      </w:r>
      <w:r w:rsidR="00244B70" w:rsidRPr="00A56475">
        <w:t>) and in the diaspora press (</w:t>
      </w:r>
      <w:r w:rsidR="009A0874" w:rsidRPr="00A56475">
        <w:rPr>
          <w:u w:val="single"/>
        </w:rPr>
        <w:t>Asian Times</w:t>
      </w:r>
      <w:r w:rsidR="00244B70" w:rsidRPr="00A56475">
        <w:t xml:space="preserve">, </w:t>
      </w:r>
      <w:r w:rsidR="007E1674" w:rsidRPr="00A56475">
        <w:rPr>
          <w:u w:val="single"/>
        </w:rPr>
        <w:t>Irish Post</w:t>
      </w:r>
      <w:r w:rsidR="00244B70" w:rsidRPr="00A56475">
        <w:t xml:space="preserve">, </w:t>
      </w:r>
      <w:r w:rsidR="008816F6" w:rsidRPr="00A56475">
        <w:rPr>
          <w:u w:val="single"/>
        </w:rPr>
        <w:t>Muslim News</w:t>
      </w:r>
      <w:r w:rsidR="00244B70" w:rsidRPr="00A56475">
        <w:t xml:space="preserve">). Each of these </w:t>
      </w:r>
      <w:r w:rsidR="00077CFC" w:rsidRPr="00A56475">
        <w:t>news</w:t>
      </w:r>
      <w:r w:rsidR="00244B70" w:rsidRPr="00A56475">
        <w:t xml:space="preserve">papers has its own identity, character, political orientation and readership, which affect how </w:t>
      </w:r>
      <w:r w:rsidR="009A0874" w:rsidRPr="00A56475">
        <w:t>Irish and Muslim</w:t>
      </w:r>
      <w:r w:rsidR="003A0DA1" w:rsidRPr="00A56475">
        <w:t xml:space="preserve"> communities</w:t>
      </w:r>
      <w:r w:rsidR="00244B70" w:rsidRPr="00A56475">
        <w:t xml:space="preserve"> are constru</w:t>
      </w:r>
      <w:r w:rsidR="00D535E4" w:rsidRPr="00A56475">
        <w:t xml:space="preserve">cted within their pages. </w:t>
      </w:r>
      <w:r w:rsidR="007D1EA0" w:rsidRPr="00A56475">
        <w:t xml:space="preserve">The defunct weekly </w:t>
      </w:r>
      <w:r w:rsidR="007D1EA0" w:rsidRPr="00A56475">
        <w:rPr>
          <w:u w:val="single"/>
        </w:rPr>
        <w:t>Asian Times</w:t>
      </w:r>
      <w:r w:rsidR="007D1EA0" w:rsidRPr="00A56475">
        <w:t xml:space="preserve"> targeted the multi-ethnic</w:t>
      </w:r>
      <w:r w:rsidR="00EE366F">
        <w:t>,</w:t>
      </w:r>
      <w:r w:rsidR="007D1EA0" w:rsidRPr="00A56475">
        <w:t xml:space="preserve"> multi-confessional British Asian market. Its readership consisted of </w:t>
      </w:r>
      <w:r w:rsidR="0003264F" w:rsidRPr="00A56475">
        <w:t>‘</w:t>
      </w:r>
      <w:r w:rsidR="007D1EA0" w:rsidRPr="00A56475">
        <w:t xml:space="preserve">opinion makers, teachers and lecturers, </w:t>
      </w:r>
      <w:r w:rsidR="007D1EA0" w:rsidRPr="00A56475">
        <w:lastRenderedPageBreak/>
        <w:t>social workers, and people involved professionally in the UK Asian community at all levels</w:t>
      </w:r>
      <w:r w:rsidR="0003264F" w:rsidRPr="00A56475">
        <w:t>’</w:t>
      </w:r>
      <w:r w:rsidR="007D1EA0" w:rsidRPr="00A56475">
        <w:t xml:space="preserve"> (Asia Major, 1996). </w:t>
      </w:r>
    </w:p>
    <w:p w:rsidR="00E97977" w:rsidRPr="00A56475" w:rsidRDefault="007D1EA0" w:rsidP="008F7BE2">
      <w:pPr>
        <w:suppressAutoHyphens w:val="0"/>
        <w:spacing w:line="480" w:lineRule="auto"/>
        <w:ind w:firstLine="720"/>
        <w:jc w:val="both"/>
      </w:pPr>
      <w:r w:rsidRPr="00A56475">
        <w:t xml:space="preserve">The </w:t>
      </w:r>
      <w:r w:rsidR="00EE366F">
        <w:t xml:space="preserve">London-based </w:t>
      </w:r>
      <w:r w:rsidRPr="00A56475">
        <w:t xml:space="preserve">weekly </w:t>
      </w:r>
      <w:r w:rsidRPr="00A56475">
        <w:rPr>
          <w:u w:val="single"/>
        </w:rPr>
        <w:t>Irish Post</w:t>
      </w:r>
      <w:r w:rsidRPr="00A56475">
        <w:t xml:space="preserve"> </w:t>
      </w:r>
      <w:r w:rsidR="0003264F" w:rsidRPr="00A56475">
        <w:t>‘</w:t>
      </w:r>
      <w:r w:rsidRPr="00A56475">
        <w:t>target[s] the second-generation Irish in the UK and more affluent young Irish people who are coming to Britain to work in business and the professions</w:t>
      </w:r>
      <w:r w:rsidR="0003264F" w:rsidRPr="00A56475">
        <w:t>’</w:t>
      </w:r>
      <w:r w:rsidRPr="00A56475">
        <w:t xml:space="preserve"> (Lagan, 2005). The readership of the monthly </w:t>
      </w:r>
      <w:r w:rsidRPr="00A56475">
        <w:rPr>
          <w:u w:val="single"/>
        </w:rPr>
        <w:t>Muslim News</w:t>
      </w:r>
      <w:r w:rsidRPr="00A56475">
        <w:t xml:space="preserve"> is mainly second and third generation Muslims, and it claims to </w:t>
      </w:r>
      <w:r w:rsidR="0003264F" w:rsidRPr="00A56475">
        <w:t>‘</w:t>
      </w:r>
      <w:r w:rsidRPr="00A56475">
        <w:t>report … on what the non-Muslim media does not report.</w:t>
      </w:r>
      <w:r w:rsidR="0003264F" w:rsidRPr="00A56475">
        <w:t>’</w:t>
      </w:r>
      <w:r w:rsidRPr="00A56475">
        <w:t xml:space="preserve"> (Muslim News, 2009). The national newspapers under analysis cater to the British population</w:t>
      </w:r>
      <w:r w:rsidR="00851F24">
        <w:t xml:space="preserve"> as a whole and are widely read;</w:t>
      </w:r>
      <w:r w:rsidRPr="00A56475">
        <w:t xml:space="preserve"> b</w:t>
      </w:r>
      <w:r w:rsidR="00B76ED6" w:rsidRPr="00A56475">
        <w:t>e</w:t>
      </w:r>
      <w:r w:rsidRPr="00A56475">
        <w:t>tween January and December 2009</w:t>
      </w:r>
      <w:r w:rsidR="00B76ED6" w:rsidRPr="00A56475">
        <w:t xml:space="preserve"> t</w:t>
      </w:r>
      <w:r w:rsidR="00F96874" w:rsidRPr="00A56475">
        <w:t>he</w:t>
      </w:r>
      <w:r w:rsidR="00B85E69">
        <w:t xml:space="preserve"> </w:t>
      </w:r>
      <w:r w:rsidR="00F96874" w:rsidRPr="00A56475">
        <w:t xml:space="preserve">combined readership </w:t>
      </w:r>
      <w:r w:rsidR="00B85E69">
        <w:t>of the dail</w:t>
      </w:r>
      <w:r w:rsidR="002A2CD9">
        <w:t>ies</w:t>
      </w:r>
      <w:r w:rsidR="00B85E69">
        <w:t xml:space="preserve"> under analysis </w:t>
      </w:r>
      <w:r w:rsidR="00503128" w:rsidRPr="00A56475">
        <w:t>was 31.6</w:t>
      </w:r>
      <w:r w:rsidR="00F96874" w:rsidRPr="00A56475">
        <w:t>%</w:t>
      </w:r>
      <w:r w:rsidR="00851F24">
        <w:t xml:space="preserve"> of the total newspaper readership in Britain</w:t>
      </w:r>
      <w:r w:rsidR="00B85E69">
        <w:t xml:space="preserve">, while that of the </w:t>
      </w:r>
      <w:r w:rsidR="00B85E69" w:rsidRPr="00A56475">
        <w:t>Sunday papers</w:t>
      </w:r>
      <w:r w:rsidR="00F96874" w:rsidRPr="00A56475">
        <w:t xml:space="preserve"> </w:t>
      </w:r>
      <w:r w:rsidR="00B85E69">
        <w:t xml:space="preserve">was </w:t>
      </w:r>
      <w:r w:rsidRPr="00A56475">
        <w:t xml:space="preserve">32.3% </w:t>
      </w:r>
      <w:r w:rsidR="00F96874" w:rsidRPr="00A56475">
        <w:t>(</w:t>
      </w:r>
      <w:r w:rsidR="00503128" w:rsidRPr="00A56475">
        <w:t>National Readership Survey, 2010</w:t>
      </w:r>
      <w:r w:rsidR="00F96874" w:rsidRPr="00A56475">
        <w:t>)</w:t>
      </w:r>
      <w:r w:rsidR="002979D5" w:rsidRPr="00A56475">
        <w:t>.</w:t>
      </w:r>
    </w:p>
    <w:p w:rsidR="00E97977" w:rsidRPr="00A56475" w:rsidRDefault="00E97977" w:rsidP="008F7BE2">
      <w:pPr>
        <w:suppressAutoHyphens w:val="0"/>
        <w:spacing w:line="480" w:lineRule="auto"/>
        <w:jc w:val="both"/>
      </w:pPr>
    </w:p>
    <w:p w:rsidR="00E97977" w:rsidRPr="00A56475" w:rsidRDefault="00E97977" w:rsidP="008F7BE2">
      <w:pPr>
        <w:suppressAutoHyphens w:val="0"/>
        <w:spacing w:line="480" w:lineRule="auto"/>
        <w:jc w:val="both"/>
      </w:pPr>
      <w:r w:rsidRPr="00A56475">
        <w:t>TABLE 2: ABOUT HERE</w:t>
      </w:r>
    </w:p>
    <w:p w:rsidR="00E97977" w:rsidRPr="00A56475" w:rsidRDefault="00E97977" w:rsidP="008F7BE2">
      <w:pPr>
        <w:suppressAutoHyphens w:val="0"/>
        <w:spacing w:line="480" w:lineRule="auto"/>
        <w:jc w:val="both"/>
      </w:pPr>
    </w:p>
    <w:p w:rsidR="0028226E" w:rsidRPr="00A56475" w:rsidRDefault="00574719" w:rsidP="008F7BE2">
      <w:pPr>
        <w:suppressAutoHyphens w:val="0"/>
        <w:spacing w:line="480" w:lineRule="auto"/>
        <w:ind w:firstLine="720"/>
        <w:jc w:val="both"/>
      </w:pPr>
      <w:r w:rsidRPr="00A56475">
        <w:t xml:space="preserve">In order to </w:t>
      </w:r>
      <w:r w:rsidR="00756E3A" w:rsidRPr="00A56475">
        <w:t>evaluat</w:t>
      </w:r>
      <w:r w:rsidRPr="00A56475">
        <w:t>e</w:t>
      </w:r>
      <w:r w:rsidR="009076FC" w:rsidRPr="00A56475">
        <w:t xml:space="preserve"> </w:t>
      </w:r>
      <w:r w:rsidR="00221BD9" w:rsidRPr="00A56475">
        <w:t>press representations</w:t>
      </w:r>
      <w:r w:rsidR="009076FC" w:rsidRPr="00A56475">
        <w:t xml:space="preserve"> of Irish and Muslim communities as “suspect”, we collected </w:t>
      </w:r>
      <w:r w:rsidR="003C3D2B" w:rsidRPr="00A56475">
        <w:t xml:space="preserve">all the news items </w:t>
      </w:r>
      <w:r w:rsidR="0046472A" w:rsidRPr="00A56475">
        <w:t>mentioning</w:t>
      </w:r>
      <w:r w:rsidR="003C3D2B" w:rsidRPr="00A56475">
        <w:t xml:space="preserve"> the events chosen for analysis </w:t>
      </w:r>
      <w:r w:rsidR="00244B70" w:rsidRPr="00A56475">
        <w:t>for one month after each event took place, excep</w:t>
      </w:r>
      <w:r w:rsidR="00AB4E64" w:rsidRPr="00A56475">
        <w:t>t for the Good Friday Agreement</w:t>
      </w:r>
      <w:r w:rsidR="00244B70" w:rsidRPr="00A56475">
        <w:t xml:space="preserve"> and the 2000 and 2006 Terrorism Acts, </w:t>
      </w:r>
      <w:r w:rsidR="004056F5" w:rsidRPr="00A56475">
        <w:t>where</w:t>
      </w:r>
      <w:r w:rsidR="00244B70" w:rsidRPr="00A56475">
        <w:t xml:space="preserve"> periods covering the span of the policy making process were collected</w:t>
      </w:r>
      <w:r w:rsidR="00AB4E64" w:rsidRPr="00A56475">
        <w:t xml:space="preserve">; </w:t>
      </w:r>
      <w:r w:rsidR="00F21DED" w:rsidRPr="00A56475">
        <w:t xml:space="preserve">a three-month period was </w:t>
      </w:r>
      <w:r w:rsidR="00087148" w:rsidRPr="00A56475">
        <w:t>covered</w:t>
      </w:r>
      <w:r w:rsidR="00F21DED" w:rsidRPr="00A56475">
        <w:t xml:space="preserve"> for the </w:t>
      </w:r>
      <w:r w:rsidR="00F21DED" w:rsidRPr="00A56475">
        <w:rPr>
          <w:u w:val="single"/>
        </w:rPr>
        <w:t>Muslim News</w:t>
      </w:r>
      <w:r w:rsidR="00244B70" w:rsidRPr="00A56475">
        <w:t xml:space="preserve">. </w:t>
      </w:r>
      <w:r w:rsidR="001A7A35" w:rsidRPr="00A56475">
        <w:t>O</w:t>
      </w:r>
      <w:r w:rsidR="00244B70" w:rsidRPr="00A56475">
        <w:t xml:space="preserve">nly </w:t>
      </w:r>
      <w:r w:rsidR="00FF40BD" w:rsidRPr="00A56475">
        <w:t xml:space="preserve">news </w:t>
      </w:r>
      <w:r w:rsidR="00244B70" w:rsidRPr="00A56475">
        <w:t>items r</w:t>
      </w:r>
      <w:r w:rsidR="00232283" w:rsidRPr="00A56475">
        <w:t xml:space="preserve">eferring to British Muslims </w:t>
      </w:r>
      <w:r w:rsidR="00244B70" w:rsidRPr="00A56475">
        <w:t>were collected for the July 2005 bombings</w:t>
      </w:r>
      <w:r w:rsidR="00EC3E04" w:rsidRPr="00A56475">
        <w:t xml:space="preserve"> in the national press</w:t>
      </w:r>
      <w:r w:rsidR="00851F24">
        <w:t xml:space="preserve">, using the following search </w:t>
      </w:r>
      <w:r w:rsidR="00852C1B">
        <w:t>string</w:t>
      </w:r>
      <w:r w:rsidR="00851F24">
        <w:t xml:space="preserve"> in the Nexis newspaper database: </w:t>
      </w:r>
      <w:r w:rsidR="00852C1B">
        <w:t>((London! terror!) OR (London! bomb!)) AND ((homegrown!) OR (British! Muslim!))</w:t>
      </w:r>
      <w:r w:rsidR="00244B70" w:rsidRPr="00A56475">
        <w:t xml:space="preserve">. </w:t>
      </w:r>
      <w:r w:rsidR="00E3783A">
        <w:t xml:space="preserve">This </w:t>
      </w:r>
      <w:r w:rsidR="00244B70" w:rsidRPr="00A56475">
        <w:t xml:space="preserve">step </w:t>
      </w:r>
      <w:r w:rsidR="00E3783A">
        <w:t xml:space="preserve">was taken </w:t>
      </w:r>
      <w:r w:rsidR="00244B70" w:rsidRPr="00A56475">
        <w:t xml:space="preserve">as the number of news items collected for these </w:t>
      </w:r>
      <w:r w:rsidR="002143E5" w:rsidRPr="00A56475">
        <w:t xml:space="preserve">bombings </w:t>
      </w:r>
      <w:r w:rsidR="00244B70" w:rsidRPr="00A56475">
        <w:t xml:space="preserve">would </w:t>
      </w:r>
      <w:r w:rsidR="007D7CF3" w:rsidRPr="00A56475">
        <w:lastRenderedPageBreak/>
        <w:t xml:space="preserve">otherwise </w:t>
      </w:r>
      <w:r w:rsidR="00244B70" w:rsidRPr="00A56475">
        <w:t>ha</w:t>
      </w:r>
      <w:r w:rsidR="00931204" w:rsidRPr="00A56475">
        <w:t xml:space="preserve">ve been in the thousands. </w:t>
      </w:r>
      <w:r w:rsidR="00551312" w:rsidRPr="00A56475">
        <w:t xml:space="preserve">This yielded </w:t>
      </w:r>
      <w:r w:rsidR="005B74E1" w:rsidRPr="00A56475">
        <w:t>a</w:t>
      </w:r>
      <w:r w:rsidR="00244B70" w:rsidRPr="00A56475">
        <w:t xml:space="preserve"> total of 2,798 </w:t>
      </w:r>
      <w:r w:rsidR="001A7A35" w:rsidRPr="00A56475">
        <w:t xml:space="preserve">news </w:t>
      </w:r>
      <w:r w:rsidR="00244B70" w:rsidRPr="00A56475">
        <w:t>items (</w:t>
      </w:r>
      <w:r w:rsidR="009C2FCD" w:rsidRPr="00A56475">
        <w:t>Figure 1</w:t>
      </w:r>
      <w:r w:rsidR="00244B70" w:rsidRPr="00A56475">
        <w:t>)</w:t>
      </w:r>
      <w:r w:rsidR="00710FAB" w:rsidRPr="00A56475">
        <w:t>.</w:t>
      </w:r>
      <w:r w:rsidR="00F76CEE" w:rsidRPr="00A56475">
        <w:t xml:space="preserve"> </w:t>
      </w:r>
      <w:r w:rsidR="00551312" w:rsidRPr="00A56475">
        <w:t>Note that b</w:t>
      </w:r>
      <w:r w:rsidR="00F76CEE" w:rsidRPr="00A56475">
        <w:t xml:space="preserve">ecause the adoption of </w:t>
      </w:r>
      <w:r w:rsidR="009B3207" w:rsidRPr="00A56475">
        <w:t xml:space="preserve">PTA </w:t>
      </w:r>
      <w:r w:rsidR="00F76CEE" w:rsidRPr="00A56475">
        <w:t xml:space="preserve">1974 and the Birmingham bombings were </w:t>
      </w:r>
      <w:r w:rsidR="001A0057" w:rsidRPr="00A56475">
        <w:t>often</w:t>
      </w:r>
      <w:r w:rsidR="00F76CEE" w:rsidRPr="00A56475">
        <w:t xml:space="preserve"> mentioned in </w:t>
      </w:r>
      <w:r w:rsidR="001A0057" w:rsidRPr="00A56475">
        <w:t>tandem</w:t>
      </w:r>
      <w:r w:rsidR="00F76CEE" w:rsidRPr="00A56475">
        <w:t>, the</w:t>
      </w:r>
      <w:r w:rsidR="00E3783A">
        <w:t>y</w:t>
      </w:r>
      <w:r w:rsidR="00F76CEE" w:rsidRPr="00A56475">
        <w:t xml:space="preserve"> were collated </w:t>
      </w:r>
      <w:r w:rsidR="00263611" w:rsidRPr="00A56475">
        <w:t xml:space="preserve">into one </w:t>
      </w:r>
      <w:r w:rsidR="00F76CEE" w:rsidRPr="00A56475">
        <w:t>for th</w:t>
      </w:r>
      <w:r w:rsidR="00F929EE" w:rsidRPr="00A56475">
        <w:t>e purposes of the present</w:t>
      </w:r>
      <w:r w:rsidR="007130C8" w:rsidRPr="00A56475">
        <w:t xml:space="preserve"> </w:t>
      </w:r>
      <w:r w:rsidR="00F76CEE" w:rsidRPr="00A56475">
        <w:t>analysis.</w:t>
      </w:r>
      <w:r w:rsidR="00E97977" w:rsidRPr="00A56475">
        <w:t xml:space="preserve"> </w:t>
      </w:r>
      <w:r w:rsidR="000D70F8" w:rsidRPr="00A56475">
        <w:t xml:space="preserve">With the exception of the Good Friday Agreement, which attracted </w:t>
      </w:r>
      <w:r w:rsidR="00C14984" w:rsidRPr="00A56475">
        <w:t xml:space="preserve">the most </w:t>
      </w:r>
      <w:r w:rsidR="000D70F8" w:rsidRPr="00A56475">
        <w:t xml:space="preserve">coverage </w:t>
      </w:r>
      <w:r w:rsidR="00495E8A" w:rsidRPr="00A56475">
        <w:t xml:space="preserve">in our sample </w:t>
      </w:r>
      <w:r w:rsidR="000D70F8" w:rsidRPr="00A56475">
        <w:t>(n = 441)</w:t>
      </w:r>
      <w:r w:rsidR="00C14984" w:rsidRPr="00A56475">
        <w:t>,</w:t>
      </w:r>
      <w:r w:rsidR="000D70F8" w:rsidRPr="00A56475">
        <w:t xml:space="preserve"> </w:t>
      </w:r>
      <w:r w:rsidR="00244B70" w:rsidRPr="00A56475">
        <w:t>Muslim-related events tend</w:t>
      </w:r>
      <w:r w:rsidR="0033743E" w:rsidRPr="00A56475">
        <w:t>ed</w:t>
      </w:r>
      <w:r w:rsidR="00244B70" w:rsidRPr="00A56475">
        <w:t xml:space="preserve"> to be covered more extensivel</w:t>
      </w:r>
      <w:r w:rsidR="00B3640D" w:rsidRPr="00A56475">
        <w:t>y than Irish-related ones</w:t>
      </w:r>
      <w:r w:rsidR="00244B70" w:rsidRPr="00A56475">
        <w:t xml:space="preserve">. </w:t>
      </w:r>
    </w:p>
    <w:p w:rsidR="00E97977" w:rsidRPr="00A56475" w:rsidRDefault="00E97977" w:rsidP="008F7BE2">
      <w:pPr>
        <w:suppressAutoHyphens w:val="0"/>
        <w:spacing w:line="480" w:lineRule="auto"/>
        <w:ind w:firstLine="720"/>
        <w:jc w:val="both"/>
      </w:pPr>
    </w:p>
    <w:p w:rsidR="00E97977" w:rsidRPr="00A56475" w:rsidRDefault="009C2FCD" w:rsidP="008F7BE2">
      <w:pPr>
        <w:suppressAutoHyphens w:val="0"/>
        <w:spacing w:line="480" w:lineRule="auto"/>
        <w:jc w:val="both"/>
      </w:pPr>
      <w:r w:rsidRPr="00A56475">
        <w:t>FIGURE 1</w:t>
      </w:r>
      <w:r w:rsidR="00E97977" w:rsidRPr="00A56475">
        <w:t xml:space="preserve"> ABOUT HERE</w:t>
      </w:r>
    </w:p>
    <w:p w:rsidR="00E97977" w:rsidRPr="00A56475" w:rsidRDefault="00E97977" w:rsidP="008F7BE2">
      <w:pPr>
        <w:suppressAutoHyphens w:val="0"/>
        <w:spacing w:line="480" w:lineRule="auto"/>
        <w:ind w:firstLine="720"/>
        <w:jc w:val="both"/>
      </w:pPr>
    </w:p>
    <w:p w:rsidR="0028226E" w:rsidRPr="00A56475" w:rsidRDefault="0028226E" w:rsidP="008F7BE2">
      <w:pPr>
        <w:suppressAutoHyphens w:val="0"/>
        <w:spacing w:line="480" w:lineRule="auto"/>
        <w:ind w:firstLine="720"/>
        <w:jc w:val="both"/>
      </w:pPr>
      <w:r w:rsidRPr="00A56475">
        <w:t>It is notable that the arrest (7) and exoneration (16) of the Maguire Seven, although significant for Irish communities in Britain, attracted little press attention, especially when compared to the releases of the Guildford Four (109) and Birmingham Six (122). A number of factors may explain this. First, their arrest took place immediately after the Birmingham bombings</w:t>
      </w:r>
      <w:r w:rsidR="004A6BCB">
        <w:t xml:space="preserve"> that </w:t>
      </w:r>
      <w:r w:rsidRPr="00A56475">
        <w:t xml:space="preserve">accelerated the adoption of anti-terrorist legislation, events that attracted a large degree of press attention (186). Second, their arrest took place at a time of heightened IRA activity, when many suspects were arrested. Their arrest could </w:t>
      </w:r>
      <w:r w:rsidR="00DF1E85">
        <w:t xml:space="preserve">then </w:t>
      </w:r>
      <w:r w:rsidRPr="00A56475">
        <w:t>be argued to have been subsumed under discourses relating to IRA activity and how British civil society should deal with it. Third, the exoneration of the Maguire Seven followed swiftly on that of the Guildford Four and Birmingham Six, which suggests that it became absorbed in discourses relating to miscarriages of justice; wrongful arrest; and the modus operandi of counterterrorism.</w:t>
      </w:r>
    </w:p>
    <w:p w:rsidR="00E75E30" w:rsidRPr="00A56475" w:rsidRDefault="00D75085" w:rsidP="008F7BE2">
      <w:pPr>
        <w:spacing w:line="480" w:lineRule="auto"/>
        <w:ind w:firstLine="720"/>
        <w:jc w:val="both"/>
      </w:pPr>
      <w:r w:rsidRPr="00A56475">
        <w:t>A telling example of d</w:t>
      </w:r>
      <w:r w:rsidR="00E9058B" w:rsidRPr="00A56475">
        <w:t xml:space="preserve">ifferences </w:t>
      </w:r>
      <w:r w:rsidR="00B257D5" w:rsidRPr="00A56475">
        <w:t xml:space="preserve">in the construction of </w:t>
      </w:r>
      <w:r w:rsidR="00E9058B" w:rsidRPr="00A56475">
        <w:t xml:space="preserve">Irish and Muslim communities </w:t>
      </w:r>
      <w:r w:rsidR="00667172" w:rsidRPr="00A56475">
        <w:t xml:space="preserve">as “suspect” </w:t>
      </w:r>
      <w:r w:rsidRPr="00A56475">
        <w:t xml:space="preserve">relates to coverage of </w:t>
      </w:r>
      <w:r w:rsidR="00FF29C6" w:rsidRPr="00A56475">
        <w:t xml:space="preserve">three shootings by police </w:t>
      </w:r>
      <w:r w:rsidR="008E3058" w:rsidRPr="00A56475">
        <w:t>included</w:t>
      </w:r>
      <w:r w:rsidR="00FF29C6" w:rsidRPr="00A56475">
        <w:t xml:space="preserve"> in our </w:t>
      </w:r>
      <w:r w:rsidR="00FF29C6" w:rsidRPr="00A56475">
        <w:lastRenderedPageBreak/>
        <w:t>sample: Diarmuid O</w:t>
      </w:r>
      <w:r w:rsidR="0003264F" w:rsidRPr="00A56475">
        <w:t>’</w:t>
      </w:r>
      <w:r w:rsidR="00FF29C6" w:rsidRPr="00A56475">
        <w:t xml:space="preserve">Neill in September 1996 (46); </w:t>
      </w:r>
      <w:r w:rsidR="0052376F" w:rsidRPr="00A56475">
        <w:t xml:space="preserve">Jean Charles </w:t>
      </w:r>
      <w:r w:rsidR="00FF29C6" w:rsidRPr="00A56475">
        <w:t xml:space="preserve">De Menezes in July 2005 (209); </w:t>
      </w:r>
      <w:r w:rsidR="00DA14A8" w:rsidRPr="00A56475">
        <w:t xml:space="preserve">and </w:t>
      </w:r>
      <w:r w:rsidR="00FF29C6" w:rsidRPr="00A56475">
        <w:rPr>
          <w:lang w:bidi="en-US"/>
        </w:rPr>
        <w:t>Abdul Koyar</w:t>
      </w:r>
      <w:r w:rsidR="001359A2" w:rsidRPr="00A56475">
        <w:rPr>
          <w:lang w:bidi="en-US"/>
        </w:rPr>
        <w:t xml:space="preserve"> during the Forest Gate raid</w:t>
      </w:r>
      <w:r w:rsidR="00FF29C6" w:rsidRPr="00A56475">
        <w:t xml:space="preserve"> in June 2006 (171). All three events have broad soci</w:t>
      </w:r>
      <w:r w:rsidR="006D749F" w:rsidRPr="00A56475">
        <w:t>et</w:t>
      </w:r>
      <w:r w:rsidR="00FF29C6" w:rsidRPr="00A56475">
        <w:t xml:space="preserve">al relevance in that they involve the shooting of individuals without recourse to legal process, and in two cases the shootings were fatal. </w:t>
      </w:r>
      <w:r w:rsidR="00295E26" w:rsidRPr="00A56475">
        <w:t>In all three cases, the d</w:t>
      </w:r>
      <w:r w:rsidR="00D61EDB" w:rsidRPr="00A56475">
        <w:t>iaspora press was more sympathet</w:t>
      </w:r>
      <w:r w:rsidR="00710C6C" w:rsidRPr="00A56475">
        <w:t>ic to th</w:t>
      </w:r>
      <w:r w:rsidR="00295E26" w:rsidRPr="00A56475">
        <w:t>e victims than was the national press</w:t>
      </w:r>
      <w:r w:rsidR="00D61EDB" w:rsidRPr="00A56475">
        <w:t xml:space="preserve">, choosing to highlight failures of intelligence that led to the shooting of people because of their </w:t>
      </w:r>
      <w:r w:rsidR="007D3041" w:rsidRPr="00A56475">
        <w:t>assumed status as dangerous terrorists</w:t>
      </w:r>
      <w:r w:rsidR="00295E26" w:rsidRPr="00A56475">
        <w:t xml:space="preserve">. </w:t>
      </w:r>
      <w:r w:rsidR="00FF29C6" w:rsidRPr="00A56475">
        <w:t>It is striking that the raid in which O</w:t>
      </w:r>
      <w:r w:rsidR="0003264F" w:rsidRPr="00A56475">
        <w:t>’</w:t>
      </w:r>
      <w:r w:rsidR="002B34DA" w:rsidRPr="00A56475">
        <w:t>Neill was killed attracted</w:t>
      </w:r>
      <w:r w:rsidR="00FF29C6" w:rsidRPr="00A56475">
        <w:t xml:space="preserve"> little coverage compared to</w:t>
      </w:r>
      <w:r w:rsidR="00AE1C43" w:rsidRPr="00A56475">
        <w:t xml:space="preserve"> the other two events. O</w:t>
      </w:r>
      <w:r w:rsidR="0003264F" w:rsidRPr="00A56475">
        <w:t>’</w:t>
      </w:r>
      <w:r w:rsidR="00AE1C43" w:rsidRPr="00A56475">
        <w:t>Neill wa</w:t>
      </w:r>
      <w:r w:rsidR="00CA78E9" w:rsidRPr="00A56475">
        <w:t>s</w:t>
      </w:r>
      <w:r w:rsidR="00F7068D" w:rsidRPr="00A56475">
        <w:t xml:space="preserve"> represented as an IRA sympathiz</w:t>
      </w:r>
      <w:r w:rsidR="00CA78E9" w:rsidRPr="00A56475">
        <w:t>er</w:t>
      </w:r>
      <w:r w:rsidR="0030586E" w:rsidRPr="00A56475">
        <w:t xml:space="preserve"> in the national press</w:t>
      </w:r>
      <w:r w:rsidR="00FF29C6" w:rsidRPr="00A56475">
        <w:t>, and sometimes as a</w:t>
      </w:r>
      <w:r w:rsidR="00CA78E9" w:rsidRPr="00A56475">
        <w:t xml:space="preserve"> </w:t>
      </w:r>
      <w:r w:rsidR="00FF29C6" w:rsidRPr="00A56475">
        <w:t>member of the IRA (</w:t>
      </w:r>
      <w:r w:rsidR="00FF29C6" w:rsidRPr="00A56475">
        <w:rPr>
          <w:u w:val="single"/>
        </w:rPr>
        <w:t>Daily Telegraph</w:t>
      </w:r>
      <w:r w:rsidR="00FF29C6" w:rsidRPr="00A56475">
        <w:t>, 24</w:t>
      </w:r>
      <w:r w:rsidR="00EC08F8" w:rsidRPr="00A56475">
        <w:t xml:space="preserve"> September </w:t>
      </w:r>
      <w:r w:rsidR="00FF29C6" w:rsidRPr="00A56475">
        <w:t xml:space="preserve">1996: </w:t>
      </w:r>
      <w:r w:rsidR="0003264F" w:rsidRPr="00A56475">
        <w:t>‘</w:t>
      </w:r>
      <w:r w:rsidR="00FF29C6" w:rsidRPr="00A56475">
        <w:t>IRA man killed as police foil bomb attacks</w:t>
      </w:r>
      <w:r w:rsidR="0003264F" w:rsidRPr="00A56475">
        <w:t>’</w:t>
      </w:r>
      <w:r w:rsidR="00FF29C6" w:rsidRPr="00A56475">
        <w:t xml:space="preserve">; </w:t>
      </w:r>
      <w:r w:rsidR="00FF29C6" w:rsidRPr="00A56475">
        <w:rPr>
          <w:u w:val="single"/>
        </w:rPr>
        <w:t>Sun</w:t>
      </w:r>
      <w:r w:rsidR="00FF29C6" w:rsidRPr="00A56475">
        <w:t>, 25</w:t>
      </w:r>
      <w:r w:rsidR="00EC08F8" w:rsidRPr="00A56475">
        <w:t xml:space="preserve"> September </w:t>
      </w:r>
      <w:r w:rsidR="00122F15" w:rsidRPr="00A56475">
        <w:t xml:space="preserve">1996: </w:t>
      </w:r>
      <w:r w:rsidR="0003264F" w:rsidRPr="00A56475">
        <w:t>‘</w:t>
      </w:r>
      <w:r w:rsidR="00122F15" w:rsidRPr="00A56475">
        <w:t>IRA</w:t>
      </w:r>
      <w:r w:rsidR="0003264F" w:rsidRPr="00A56475">
        <w:t>’</w:t>
      </w:r>
      <w:r w:rsidR="00FF29C6" w:rsidRPr="00A56475">
        <w:t>s kid cashier. Gunned-down Provo stole loot from bank for terrorist coffers</w:t>
      </w:r>
      <w:r w:rsidR="0003264F" w:rsidRPr="00A56475">
        <w:t>’</w:t>
      </w:r>
      <w:r w:rsidR="00FF29C6" w:rsidRPr="00A56475">
        <w:t xml:space="preserve">). In </w:t>
      </w:r>
      <w:r w:rsidR="00D1728D" w:rsidRPr="00A56475">
        <w:t xml:space="preserve">fact, in </w:t>
      </w:r>
      <w:r w:rsidR="00FF29C6" w:rsidRPr="00A56475">
        <w:t xml:space="preserve">1989 </w:t>
      </w:r>
      <w:r w:rsidR="00EC08F8" w:rsidRPr="00A56475">
        <w:t>O</w:t>
      </w:r>
      <w:r w:rsidR="0003264F" w:rsidRPr="00A56475">
        <w:t>’</w:t>
      </w:r>
      <w:r w:rsidR="00EC08F8" w:rsidRPr="00A56475">
        <w:t>Neill</w:t>
      </w:r>
      <w:r w:rsidR="00FF29C6" w:rsidRPr="00A56475">
        <w:t xml:space="preserve"> </w:t>
      </w:r>
      <w:r w:rsidR="00D1728D" w:rsidRPr="00A56475">
        <w:t xml:space="preserve">had been </w:t>
      </w:r>
      <w:r w:rsidR="00FF29C6" w:rsidRPr="00A56475">
        <w:t>convicted of stealing money from the Bank of Ireland</w:t>
      </w:r>
      <w:r w:rsidR="001C4EFD" w:rsidRPr="00A56475">
        <w:t>,</w:t>
      </w:r>
      <w:r w:rsidR="00FF29C6" w:rsidRPr="00A56475">
        <w:t xml:space="preserve"> and in the trial police claimed he </w:t>
      </w:r>
      <w:r w:rsidR="00EC08F8" w:rsidRPr="00A56475">
        <w:t>transferred £34,000</w:t>
      </w:r>
      <w:r w:rsidR="00FF29C6" w:rsidRPr="00A56475">
        <w:t xml:space="preserve"> to the IRA</w:t>
      </w:r>
      <w:r w:rsidR="00E75E30" w:rsidRPr="00A56475">
        <w:t xml:space="preserve">, for which </w:t>
      </w:r>
      <w:r w:rsidR="0037771F" w:rsidRPr="00A56475">
        <w:t xml:space="preserve">he </w:t>
      </w:r>
      <w:r w:rsidR="00FF29C6" w:rsidRPr="00A56475">
        <w:t>was sentenced to 12 months in a youth detention</w:t>
      </w:r>
      <w:r w:rsidR="001C4EFD" w:rsidRPr="00A56475">
        <w:t xml:space="preserve"> centre. This </w:t>
      </w:r>
      <w:r w:rsidR="00786F42" w:rsidRPr="00A56475">
        <w:t xml:space="preserve">conviction </w:t>
      </w:r>
      <w:r w:rsidR="008959B7" w:rsidRPr="00A56475">
        <w:t>contributed to</w:t>
      </w:r>
      <w:r w:rsidR="00FF29C6" w:rsidRPr="00A56475">
        <w:t xml:space="preserve"> him being constructed as a</w:t>
      </w:r>
      <w:r w:rsidR="00D42F03" w:rsidRPr="00A56475">
        <w:t xml:space="preserve"> </w:t>
      </w:r>
      <w:r w:rsidR="004A6172" w:rsidRPr="00A56475">
        <w:t>“</w:t>
      </w:r>
      <w:r w:rsidR="00E75E30" w:rsidRPr="00A56475">
        <w:t>terror suspect</w:t>
      </w:r>
      <w:r w:rsidR="004A6172" w:rsidRPr="00A56475">
        <w:t>”</w:t>
      </w:r>
      <w:r w:rsidR="00FF29C6" w:rsidRPr="00A56475">
        <w:t xml:space="preserve">, a status that </w:t>
      </w:r>
      <w:r w:rsidR="00BF4C7A" w:rsidRPr="00A56475">
        <w:t xml:space="preserve">apparently </w:t>
      </w:r>
      <w:r w:rsidR="00FF29C6" w:rsidRPr="00A56475">
        <w:t>renders the point-blank, fatal shooting of an un</w:t>
      </w:r>
      <w:r w:rsidR="007450E8" w:rsidRPr="00A56475">
        <w:t>armed man, unproblematic,</w:t>
      </w:r>
      <w:r w:rsidR="00FF29C6" w:rsidRPr="00A56475">
        <w:t xml:space="preserve"> or at least excusable. This uncritical stance </w:t>
      </w:r>
      <w:r w:rsidR="00E75E30" w:rsidRPr="00A56475">
        <w:t xml:space="preserve">was adopted </w:t>
      </w:r>
      <w:r w:rsidR="00FF29C6" w:rsidRPr="00A56475">
        <w:t xml:space="preserve">across the </w:t>
      </w:r>
      <w:r w:rsidR="00E75E30" w:rsidRPr="00A56475">
        <w:t>national</w:t>
      </w:r>
      <w:r w:rsidR="00FF29C6" w:rsidRPr="00A56475">
        <w:t xml:space="preserve"> newspapers </w:t>
      </w:r>
      <w:r w:rsidR="00E75E30" w:rsidRPr="00A56475">
        <w:t xml:space="preserve">under analysis, which </w:t>
      </w:r>
      <w:r w:rsidR="00FF29C6" w:rsidRPr="00A56475">
        <w:t xml:space="preserve">is surprising given that the actions of the police and judiciary had come under intense scrutiny in the aftermath of </w:t>
      </w:r>
      <w:r w:rsidR="00471E58" w:rsidRPr="00A56475">
        <w:t>the release</w:t>
      </w:r>
      <w:r w:rsidR="006867AF" w:rsidRPr="00A56475">
        <w:t>s</w:t>
      </w:r>
      <w:r w:rsidR="00471E58" w:rsidRPr="00A56475">
        <w:t xml:space="preserve"> of </w:t>
      </w:r>
      <w:r w:rsidR="00FF29C6" w:rsidRPr="00A56475">
        <w:t xml:space="preserve">the </w:t>
      </w:r>
      <w:r w:rsidR="00471E58" w:rsidRPr="00A56475">
        <w:t xml:space="preserve">Guildford Four and </w:t>
      </w:r>
      <w:r w:rsidR="00FF29C6" w:rsidRPr="00A56475">
        <w:t>Birmingham Six.</w:t>
      </w:r>
    </w:p>
    <w:p w:rsidR="00FE0A77" w:rsidRPr="00A56475" w:rsidRDefault="00FF29C6" w:rsidP="008F7BE2">
      <w:pPr>
        <w:spacing w:line="480" w:lineRule="auto"/>
        <w:ind w:firstLine="720"/>
        <w:jc w:val="both"/>
        <w:rPr>
          <w:lang w:bidi="en-US"/>
        </w:rPr>
      </w:pPr>
      <w:r w:rsidRPr="00A56475">
        <w:t xml:space="preserve">The </w:t>
      </w:r>
      <w:r w:rsidRPr="00A56475">
        <w:rPr>
          <w:lang w:bidi="en-US"/>
        </w:rPr>
        <w:t>anti-terror raid in Fores</w:t>
      </w:r>
      <w:r w:rsidR="00907AC2" w:rsidRPr="00A56475">
        <w:rPr>
          <w:lang w:bidi="en-US"/>
        </w:rPr>
        <w:t>t Gate during which Koyar</w:t>
      </w:r>
      <w:r w:rsidRPr="00A56475">
        <w:rPr>
          <w:lang w:bidi="en-US"/>
        </w:rPr>
        <w:t xml:space="preserve"> was shot attracted almost four times more coverage than the shooting of O</w:t>
      </w:r>
      <w:r w:rsidR="0003264F" w:rsidRPr="00A56475">
        <w:rPr>
          <w:lang w:bidi="en-US"/>
        </w:rPr>
        <w:t>’</w:t>
      </w:r>
      <w:r w:rsidRPr="00A56475">
        <w:rPr>
          <w:lang w:bidi="en-US"/>
        </w:rPr>
        <w:t xml:space="preserve">Neill. Clearly it was considered a more newsworthy event. This might in part be an effect of the De Menezes case, where a </w:t>
      </w:r>
      <w:r w:rsidRPr="00A56475">
        <w:rPr>
          <w:lang w:bidi="en-US"/>
        </w:rPr>
        <w:lastRenderedPageBreak/>
        <w:t xml:space="preserve">Brazilian man was shot dead because of his </w:t>
      </w:r>
      <w:r w:rsidR="001100EE" w:rsidRPr="00A56475">
        <w:rPr>
          <w:lang w:bidi="en-US"/>
        </w:rPr>
        <w:t>“</w:t>
      </w:r>
      <w:r w:rsidRPr="00A56475">
        <w:rPr>
          <w:lang w:bidi="en-US"/>
        </w:rPr>
        <w:t>Asian/Muslim</w:t>
      </w:r>
      <w:r w:rsidR="001100EE" w:rsidRPr="00A56475">
        <w:rPr>
          <w:lang w:bidi="en-US"/>
        </w:rPr>
        <w:t>”</w:t>
      </w:r>
      <w:r w:rsidRPr="00A56475">
        <w:rPr>
          <w:lang w:bidi="en-US"/>
        </w:rPr>
        <w:t xml:space="preserve"> appearance, combined with the press spotlight on Muslim</w:t>
      </w:r>
      <w:r w:rsidR="00133031" w:rsidRPr="00A56475">
        <w:rPr>
          <w:lang w:bidi="en-US"/>
        </w:rPr>
        <w:t>s</w:t>
      </w:r>
      <w:r w:rsidRPr="00A56475">
        <w:rPr>
          <w:lang w:bidi="en-US"/>
        </w:rPr>
        <w:t xml:space="preserve"> after </w:t>
      </w:r>
      <w:r w:rsidR="00E75E30" w:rsidRPr="00A56475">
        <w:rPr>
          <w:lang w:bidi="en-US"/>
        </w:rPr>
        <w:t xml:space="preserve">the events of </w:t>
      </w:r>
      <w:r w:rsidR="00C75229" w:rsidRPr="00A56475">
        <w:rPr>
          <w:lang w:bidi="en-US"/>
        </w:rPr>
        <w:t>9/</w:t>
      </w:r>
      <w:r w:rsidR="00E75E30" w:rsidRPr="00A56475">
        <w:rPr>
          <w:lang w:bidi="en-US"/>
        </w:rPr>
        <w:t xml:space="preserve">11 </w:t>
      </w:r>
      <w:r w:rsidRPr="00A56475">
        <w:rPr>
          <w:lang w:bidi="en-US"/>
        </w:rPr>
        <w:t>and July 2005. It is notable that in this case</w:t>
      </w:r>
      <w:r w:rsidR="00F25F37" w:rsidRPr="00A56475">
        <w:rPr>
          <w:lang w:bidi="en-US"/>
        </w:rPr>
        <w:t xml:space="preserve"> –</w:t>
      </w:r>
      <w:r w:rsidRPr="00A56475">
        <w:rPr>
          <w:lang w:bidi="en-US"/>
        </w:rPr>
        <w:t xml:space="preserve"> although coverage did focus on the excessive use of force</w:t>
      </w:r>
      <w:r w:rsidR="00F25F37" w:rsidRPr="00A56475">
        <w:rPr>
          <w:lang w:bidi="en-US"/>
        </w:rPr>
        <w:t xml:space="preserve"> – </w:t>
      </w:r>
      <w:r w:rsidR="0068216D" w:rsidRPr="00A56475">
        <w:rPr>
          <w:lang w:bidi="en-US"/>
        </w:rPr>
        <w:t xml:space="preserve">journalists and commentators </w:t>
      </w:r>
      <w:r w:rsidR="004F48E5" w:rsidRPr="00A56475">
        <w:rPr>
          <w:lang w:bidi="en-US"/>
        </w:rPr>
        <w:t xml:space="preserve">in the national press </w:t>
      </w:r>
      <w:r w:rsidRPr="00A56475">
        <w:rPr>
          <w:lang w:bidi="en-US"/>
        </w:rPr>
        <w:t xml:space="preserve">also chose to </w:t>
      </w:r>
      <w:r w:rsidR="006F3595">
        <w:rPr>
          <w:lang w:bidi="en-US"/>
        </w:rPr>
        <w:t>“</w:t>
      </w:r>
      <w:r w:rsidRPr="00A56475">
        <w:rPr>
          <w:lang w:bidi="en-US"/>
        </w:rPr>
        <w:t>criminalize</w:t>
      </w:r>
      <w:r w:rsidR="006F3595">
        <w:rPr>
          <w:lang w:bidi="en-US"/>
        </w:rPr>
        <w:t>”</w:t>
      </w:r>
      <w:r w:rsidRPr="00A56475">
        <w:rPr>
          <w:lang w:bidi="en-US"/>
        </w:rPr>
        <w:t xml:space="preserve"> the victim after the event, accusing Koyar and his family </w:t>
      </w:r>
      <w:r w:rsidR="00E75E30" w:rsidRPr="00A56475">
        <w:rPr>
          <w:lang w:bidi="en-US"/>
        </w:rPr>
        <w:t>of scrounging off the s</w:t>
      </w:r>
      <w:r w:rsidRPr="00A56475">
        <w:rPr>
          <w:lang w:bidi="en-US"/>
        </w:rPr>
        <w:t>tate</w:t>
      </w:r>
      <w:r w:rsidR="009312FF" w:rsidRPr="00A56475">
        <w:rPr>
          <w:lang w:bidi="en-US"/>
        </w:rPr>
        <w:t xml:space="preserve"> or of having criminal connections</w:t>
      </w:r>
      <w:r w:rsidR="0068216D" w:rsidRPr="00A56475">
        <w:rPr>
          <w:lang w:bidi="en-US"/>
        </w:rPr>
        <w:t xml:space="preserve"> (</w:t>
      </w:r>
      <w:r w:rsidR="00692C76" w:rsidRPr="00A56475">
        <w:rPr>
          <w:u w:val="single"/>
          <w:lang w:bidi="en-US"/>
        </w:rPr>
        <w:t>Daily Mail</w:t>
      </w:r>
      <w:r w:rsidR="00692C76" w:rsidRPr="00A56475">
        <w:rPr>
          <w:lang w:bidi="en-US"/>
        </w:rPr>
        <w:t xml:space="preserve">, 13 June 2006, </w:t>
      </w:r>
      <w:r w:rsidR="0003264F" w:rsidRPr="00A56475">
        <w:rPr>
          <w:lang w:bidi="en-US"/>
        </w:rPr>
        <w:t>‘</w:t>
      </w:r>
      <w:r w:rsidR="00692C76" w:rsidRPr="00A56475">
        <w:rPr>
          <w:lang w:bidi="en-US"/>
        </w:rPr>
        <w:t>Losing your legs on 7/7 justifies a £500,000 payout... losing your liberty for a few days doesn</w:t>
      </w:r>
      <w:r w:rsidR="0003264F" w:rsidRPr="00A56475">
        <w:rPr>
          <w:lang w:bidi="en-US"/>
        </w:rPr>
        <w:t>’</w:t>
      </w:r>
      <w:r w:rsidR="00692C76" w:rsidRPr="00A56475">
        <w:rPr>
          <w:lang w:bidi="en-US"/>
        </w:rPr>
        <w:t>t</w:t>
      </w:r>
      <w:r w:rsidR="00B86E14" w:rsidRPr="00A56475">
        <w:rPr>
          <w:lang w:bidi="en-US"/>
        </w:rPr>
        <w:t>’</w:t>
      </w:r>
      <w:r w:rsidR="00692C76" w:rsidRPr="00A56475">
        <w:rPr>
          <w:lang w:bidi="en-US"/>
        </w:rPr>
        <w:t xml:space="preserve">; </w:t>
      </w:r>
      <w:r w:rsidR="009312FF" w:rsidRPr="00A56475">
        <w:rPr>
          <w:u w:val="single"/>
          <w:lang w:bidi="en-US"/>
        </w:rPr>
        <w:t>Daily Telegraph</w:t>
      </w:r>
      <w:r w:rsidR="009312FF" w:rsidRPr="00A56475">
        <w:rPr>
          <w:lang w:bidi="en-US"/>
        </w:rPr>
        <w:t xml:space="preserve">, 16 June 2006, </w:t>
      </w:r>
      <w:r w:rsidR="0003264F" w:rsidRPr="00A56475">
        <w:rPr>
          <w:lang w:bidi="en-US"/>
        </w:rPr>
        <w:t>‘</w:t>
      </w:r>
      <w:r w:rsidR="009312FF" w:rsidRPr="00A56475">
        <w:rPr>
          <w:lang w:bidi="en-US"/>
        </w:rPr>
        <w:t>Anti-terrorist police found £30,000 in a suitcase during raid</w:t>
      </w:r>
      <w:r w:rsidR="0003264F" w:rsidRPr="00A56475">
        <w:rPr>
          <w:lang w:bidi="en-US"/>
        </w:rPr>
        <w:t>’</w:t>
      </w:r>
      <w:r w:rsidR="00807113" w:rsidRPr="00A56475">
        <w:rPr>
          <w:lang w:bidi="en-US"/>
        </w:rPr>
        <w:t>)</w:t>
      </w:r>
      <w:r w:rsidR="009E5192" w:rsidRPr="00A56475">
        <w:rPr>
          <w:lang w:bidi="en-US"/>
        </w:rPr>
        <w:t>.</w:t>
      </w:r>
      <w:r w:rsidR="00D96319" w:rsidRPr="00A56475">
        <w:rPr>
          <w:lang w:bidi="en-US"/>
        </w:rPr>
        <w:t xml:space="preserve"> </w:t>
      </w:r>
    </w:p>
    <w:p w:rsidR="00D96319" w:rsidRPr="00A56475" w:rsidRDefault="00FF29C6" w:rsidP="008F7BE2">
      <w:pPr>
        <w:spacing w:line="480" w:lineRule="auto"/>
        <w:ind w:firstLine="720"/>
        <w:jc w:val="both"/>
        <w:rPr>
          <w:lang w:bidi="en-US"/>
        </w:rPr>
      </w:pPr>
      <w:r w:rsidRPr="00A56475">
        <w:t xml:space="preserve">The </w:t>
      </w:r>
      <w:r w:rsidR="00BB6BC3" w:rsidRPr="00A56475">
        <w:t xml:space="preserve">De Menezes </w:t>
      </w:r>
      <w:r w:rsidRPr="00A56475">
        <w:t>shooting attracted the most coverage of the three</w:t>
      </w:r>
      <w:r w:rsidR="00B86E14" w:rsidRPr="00A56475">
        <w:t>,</w:t>
      </w:r>
      <w:r w:rsidRPr="00A56475">
        <w:t xml:space="preserve"> perhaps precisely because he was </w:t>
      </w:r>
      <w:r w:rsidR="00056925" w:rsidRPr="00A56475">
        <w:rPr>
          <w:b/>
        </w:rPr>
        <w:t>not</w:t>
      </w:r>
      <w:r w:rsidRPr="00A56475">
        <w:t xml:space="preserve"> a </w:t>
      </w:r>
      <w:r w:rsidR="00476903" w:rsidRPr="00A56475">
        <w:t>member of a “suspect” community,</w:t>
      </w:r>
      <w:r w:rsidR="00133031" w:rsidRPr="00A56475">
        <w:t xml:space="preserve"> but </w:t>
      </w:r>
      <w:r w:rsidR="00431BCF" w:rsidRPr="00A56475">
        <w:t>because</w:t>
      </w:r>
      <w:r w:rsidR="00431BCF">
        <w:t xml:space="preserve"> </w:t>
      </w:r>
      <w:r w:rsidR="00F54365">
        <w:t xml:space="preserve">he </w:t>
      </w:r>
      <w:r w:rsidR="00133031" w:rsidRPr="00A56475">
        <w:t xml:space="preserve">was </w:t>
      </w:r>
      <w:r w:rsidR="002B2EAE">
        <w:t xml:space="preserve">treated as a </w:t>
      </w:r>
      <w:r w:rsidRPr="00A56475">
        <w:t xml:space="preserve">“suspect” </w:t>
      </w:r>
      <w:r w:rsidR="002F4D37">
        <w:t>because</w:t>
      </w:r>
      <w:r w:rsidR="00431BCF">
        <w:t xml:space="preserve"> </w:t>
      </w:r>
      <w:r w:rsidRPr="00A56475">
        <w:t xml:space="preserve">of his appearance. </w:t>
      </w:r>
      <w:r w:rsidR="00105B84" w:rsidRPr="00A56475">
        <w:t xml:space="preserve">This may explain why </w:t>
      </w:r>
      <w:r w:rsidRPr="00A56475">
        <w:t xml:space="preserve">most of the coverage focuses on the modus operandi of the police in the shooting, with the effect of the police itself becoming “suspect”. Nonetheless, even here, the victim is </w:t>
      </w:r>
      <w:r w:rsidR="00321410" w:rsidRPr="00A56475">
        <w:t>criminalized</w:t>
      </w:r>
      <w:r w:rsidRPr="00A56475">
        <w:t xml:space="preserve"> in the </w:t>
      </w:r>
      <w:r w:rsidR="009E5192" w:rsidRPr="00A56475">
        <w:t xml:space="preserve">national </w:t>
      </w:r>
      <w:r w:rsidRPr="00A56475">
        <w:t>press</w:t>
      </w:r>
      <w:r w:rsidR="00113F1C" w:rsidRPr="00A56475">
        <w:t xml:space="preserve">, which </w:t>
      </w:r>
      <w:r w:rsidRPr="00A56475">
        <w:t>question</w:t>
      </w:r>
      <w:r w:rsidR="00A94FC2" w:rsidRPr="00A56475">
        <w:t>ed</w:t>
      </w:r>
      <w:r w:rsidR="00D465F7" w:rsidRPr="00A56475">
        <w:t xml:space="preserve"> the authenticity of</w:t>
      </w:r>
      <w:r w:rsidRPr="00A56475">
        <w:t xml:space="preserve"> his immigration status</w:t>
      </w:r>
      <w:r w:rsidR="003B1242" w:rsidRPr="00A56475">
        <w:t xml:space="preserve"> (</w:t>
      </w:r>
      <w:r w:rsidR="003B1242" w:rsidRPr="00A56475">
        <w:rPr>
          <w:u w:val="single"/>
        </w:rPr>
        <w:t>Daily Telegraph</w:t>
      </w:r>
      <w:r w:rsidR="003B1242" w:rsidRPr="00A56475">
        <w:t xml:space="preserve">, 24 July 2005, </w:t>
      </w:r>
      <w:r w:rsidR="0003264F" w:rsidRPr="00A56475">
        <w:t>‘</w:t>
      </w:r>
      <w:r w:rsidR="003B1242" w:rsidRPr="00A56475">
        <w:t>Victim said to be illegal immigrant from Brazil</w:t>
      </w:r>
      <w:r w:rsidR="0003264F" w:rsidRPr="00A56475">
        <w:t>’</w:t>
      </w:r>
      <w:r w:rsidR="003B1242" w:rsidRPr="00A56475">
        <w:t xml:space="preserve">; </w:t>
      </w:r>
      <w:r w:rsidR="00923020" w:rsidRPr="00A56475">
        <w:rPr>
          <w:u w:val="single"/>
        </w:rPr>
        <w:t>Sun</w:t>
      </w:r>
      <w:r w:rsidR="00923020" w:rsidRPr="00A56475">
        <w:t xml:space="preserve">, 26 July 2006, </w:t>
      </w:r>
      <w:r w:rsidR="0003264F" w:rsidRPr="00A56475">
        <w:t>‘</w:t>
      </w:r>
      <w:r w:rsidR="00923020" w:rsidRPr="00A56475">
        <w:t>Shooting victim</w:t>
      </w:r>
      <w:r w:rsidR="0003264F" w:rsidRPr="00A56475">
        <w:t>’</w:t>
      </w:r>
      <w:r w:rsidR="00923020" w:rsidRPr="00A56475">
        <w:t>s visa had expired</w:t>
      </w:r>
      <w:r w:rsidR="0003264F" w:rsidRPr="00A56475">
        <w:t>’).</w:t>
      </w:r>
      <w:r w:rsidR="001A0BAF" w:rsidRPr="00A56475">
        <w:t xml:space="preserve"> This is an early indicator of the press’ concern </w:t>
      </w:r>
      <w:r w:rsidR="004A6172" w:rsidRPr="00A56475">
        <w:t>with defending what it perceives</w:t>
      </w:r>
      <w:r w:rsidR="001A0BAF" w:rsidRPr="00A56475">
        <w:t xml:space="preserve"> are British values.</w:t>
      </w:r>
    </w:p>
    <w:p w:rsidR="00AC1849" w:rsidRPr="00A56475" w:rsidRDefault="00F36D5B" w:rsidP="008F7BE2">
      <w:pPr>
        <w:spacing w:line="480" w:lineRule="auto"/>
        <w:ind w:firstLine="720"/>
        <w:jc w:val="both"/>
      </w:pPr>
      <w:r w:rsidRPr="00A56475">
        <w:t>Related to this</w:t>
      </w:r>
      <w:r w:rsidR="00852F50" w:rsidRPr="00A56475">
        <w:t xml:space="preserve">, </w:t>
      </w:r>
      <w:r w:rsidR="00476903" w:rsidRPr="00A56475">
        <w:t>we iden</w:t>
      </w:r>
      <w:r w:rsidR="001207F5" w:rsidRPr="00A56475">
        <w:t xml:space="preserve">tified </w:t>
      </w:r>
      <w:r w:rsidR="005A6CC3" w:rsidRPr="00A56475">
        <w:t xml:space="preserve">a strong </w:t>
      </w:r>
      <w:r w:rsidR="001207F5" w:rsidRPr="00A56475">
        <w:t xml:space="preserve">concern within the press in relation to </w:t>
      </w:r>
      <w:r w:rsidR="00244B70" w:rsidRPr="00A56475">
        <w:t xml:space="preserve">perceived </w:t>
      </w:r>
      <w:r w:rsidR="00505819" w:rsidRPr="00A56475">
        <w:t xml:space="preserve">threats </w:t>
      </w:r>
      <w:r w:rsidR="005A6CC3" w:rsidRPr="00A56475">
        <w:t xml:space="preserve">posed by Muslim communities </w:t>
      </w:r>
      <w:r w:rsidR="00505819" w:rsidRPr="00A56475">
        <w:t>to British civil society</w:t>
      </w:r>
      <w:r w:rsidR="008C6337" w:rsidRPr="00A56475">
        <w:t xml:space="preserve">, </w:t>
      </w:r>
      <w:r w:rsidR="0006138D" w:rsidRPr="00A56475">
        <w:t xml:space="preserve">as </w:t>
      </w:r>
      <w:r w:rsidR="00244B70" w:rsidRPr="00A56475">
        <w:t xml:space="preserve">illustrated </w:t>
      </w:r>
      <w:r w:rsidR="00EA4D8D" w:rsidRPr="00A56475">
        <w:t xml:space="preserve">in </w:t>
      </w:r>
      <w:r w:rsidR="00D63236" w:rsidRPr="00A56475">
        <w:t>exten</w:t>
      </w:r>
      <w:r w:rsidR="00EA4D8D" w:rsidRPr="00A56475">
        <w:t>sive</w:t>
      </w:r>
      <w:r w:rsidR="00244B70" w:rsidRPr="00A56475">
        <w:t xml:space="preserve"> of coverage of the fatwa on Salman Rushdie (234) and </w:t>
      </w:r>
      <w:r w:rsidR="00837719" w:rsidRPr="00A56475">
        <w:t xml:space="preserve">of </w:t>
      </w:r>
      <w:r w:rsidR="00244B70" w:rsidRPr="00A56475">
        <w:t xml:space="preserve">the controversy </w:t>
      </w:r>
      <w:r w:rsidR="003D73C2">
        <w:t xml:space="preserve">fuelled by the media </w:t>
      </w:r>
      <w:r w:rsidR="00244B70" w:rsidRPr="00A56475">
        <w:t xml:space="preserve">on the veil </w:t>
      </w:r>
      <w:r w:rsidR="00862006" w:rsidRPr="00A56475">
        <w:t xml:space="preserve">sparked by </w:t>
      </w:r>
      <w:r w:rsidR="00D8341E" w:rsidRPr="00A56475">
        <w:t xml:space="preserve">comments made by </w:t>
      </w:r>
      <w:r w:rsidR="00862006" w:rsidRPr="00A56475">
        <w:t>then Home Secretary</w:t>
      </w:r>
      <w:r w:rsidR="00E47E74" w:rsidRPr="00A56475">
        <w:t>, Jack Straw</w:t>
      </w:r>
      <w:r w:rsidR="003D73C2">
        <w:t>,</w:t>
      </w:r>
      <w:r w:rsidR="00862006" w:rsidRPr="00A56475">
        <w:t xml:space="preserve"> </w:t>
      </w:r>
      <w:r w:rsidR="003D73C2">
        <w:t xml:space="preserve">on wearing the full-face veil during surgeries at his constituency </w:t>
      </w:r>
      <w:r w:rsidR="00244B70" w:rsidRPr="00A56475">
        <w:t xml:space="preserve">(277). </w:t>
      </w:r>
      <w:r w:rsidR="004B21D8" w:rsidRPr="00A56475">
        <w:t>N</w:t>
      </w:r>
      <w:r w:rsidR="009B0130" w:rsidRPr="00A56475">
        <w:t xml:space="preserve">ot only are Muslims connected with </w:t>
      </w:r>
      <w:r w:rsidR="004B21D8" w:rsidRPr="00A56475">
        <w:t>the terrorist threat</w:t>
      </w:r>
      <w:r w:rsidR="009B0130" w:rsidRPr="00A56475">
        <w:t xml:space="preserve"> in the press</w:t>
      </w:r>
      <w:r w:rsidR="004B21D8" w:rsidRPr="00A56475">
        <w:t xml:space="preserve">, </w:t>
      </w:r>
      <w:r w:rsidR="009B0130" w:rsidRPr="00A56475">
        <w:t xml:space="preserve">they are also </w:t>
      </w:r>
      <w:r w:rsidR="000C490E" w:rsidRPr="00A56475">
        <w:t xml:space="preserve">constructed </w:t>
      </w:r>
      <w:r w:rsidR="000C490E" w:rsidRPr="00A56475">
        <w:lastRenderedPageBreak/>
        <w:t>as a cultural problem for Britain</w:t>
      </w:r>
      <w:r w:rsidR="00C06C8F" w:rsidRPr="00A56475">
        <w:t xml:space="preserve"> and </w:t>
      </w:r>
      <w:r w:rsidR="004C11BC" w:rsidRPr="00A56475">
        <w:t xml:space="preserve">sometimes uniformly </w:t>
      </w:r>
      <w:r w:rsidR="007836EB" w:rsidRPr="00A56475">
        <w:t xml:space="preserve">represented </w:t>
      </w:r>
      <w:r w:rsidR="00E667DF" w:rsidRPr="00A56475">
        <w:t xml:space="preserve">as </w:t>
      </w:r>
      <w:r w:rsidR="00D44C4E" w:rsidRPr="00A56475">
        <w:t>challeng</w:t>
      </w:r>
      <w:r w:rsidR="00B075B9" w:rsidRPr="00A56475">
        <w:t>ing the</w:t>
      </w:r>
      <w:r w:rsidR="00E667DF" w:rsidRPr="00A56475">
        <w:t xml:space="preserve"> </w:t>
      </w:r>
      <w:r w:rsidR="000C490E" w:rsidRPr="00A56475">
        <w:t>values</w:t>
      </w:r>
      <w:r w:rsidR="00E667DF" w:rsidRPr="00A56475">
        <w:t xml:space="preserve"> </w:t>
      </w:r>
      <w:r w:rsidR="001A5BF6" w:rsidRPr="00A56475">
        <w:t>and principles the press associates</w:t>
      </w:r>
      <w:r w:rsidR="00E667DF" w:rsidRPr="00A56475">
        <w:t xml:space="preserve"> with Britishness</w:t>
      </w:r>
      <w:r w:rsidR="00471B9A" w:rsidRPr="00A56475">
        <w:t xml:space="preserve"> (for similar considerations relating to the Irish, see </w:t>
      </w:r>
      <w:r w:rsidR="00252E67" w:rsidRPr="00A56475">
        <w:t>de Nie</w:t>
      </w:r>
      <w:r w:rsidR="00471B9A" w:rsidRPr="00A56475">
        <w:t>, 2001)</w:t>
      </w:r>
      <w:r w:rsidR="000C490E" w:rsidRPr="00A56475">
        <w:t xml:space="preserve">. </w:t>
      </w:r>
      <w:r w:rsidR="00D44C4E" w:rsidRPr="00A56475">
        <w:t>One aspect of this “cultural problem” relates to gender equality, as evidenced in the exte</w:t>
      </w:r>
      <w:r w:rsidR="000C37C6" w:rsidRPr="00A56475">
        <w:t>n</w:t>
      </w:r>
      <w:r w:rsidR="008501D9" w:rsidRPr="00A56475">
        <w:t xml:space="preserve">t of </w:t>
      </w:r>
      <w:r w:rsidR="00D44C4E" w:rsidRPr="00A56475">
        <w:t xml:space="preserve">coverage of the </w:t>
      </w:r>
      <w:r w:rsidR="00470D6B">
        <w:t>“</w:t>
      </w:r>
      <w:r w:rsidR="00B61596" w:rsidRPr="00A56475">
        <w:t>veil controversy</w:t>
      </w:r>
      <w:r w:rsidR="00470D6B">
        <w:t>”</w:t>
      </w:r>
      <w:r w:rsidR="007B6066" w:rsidRPr="00A56475">
        <w:t xml:space="preserve">. </w:t>
      </w:r>
      <w:r w:rsidR="00D44C4E" w:rsidRPr="00A56475">
        <w:t>While in 2005</w:t>
      </w:r>
      <w:r w:rsidR="007B6066" w:rsidRPr="00A56475">
        <w:t xml:space="preserve"> the</w:t>
      </w:r>
      <w:r w:rsidR="004D1F5D" w:rsidRPr="00A56475">
        <w:t xml:space="preserve"> press focused on</w:t>
      </w:r>
      <w:r w:rsidR="00B61596" w:rsidRPr="00A56475">
        <w:t xml:space="preserve"> the actions </w:t>
      </w:r>
      <w:r w:rsidR="006B7C8F" w:rsidRPr="00A56475">
        <w:t>and thought</w:t>
      </w:r>
      <w:r w:rsidR="00111764" w:rsidRPr="00A56475">
        <w:t>s</w:t>
      </w:r>
      <w:r w:rsidR="006B7C8F" w:rsidRPr="00A56475">
        <w:t xml:space="preserve"> of </w:t>
      </w:r>
      <w:r w:rsidR="00111764" w:rsidRPr="00A56475">
        <w:t>youn</w:t>
      </w:r>
      <w:r w:rsidR="006B7C8F" w:rsidRPr="00A56475">
        <w:t xml:space="preserve">g Muslim men, </w:t>
      </w:r>
      <w:r w:rsidR="007E7A14" w:rsidRPr="00A56475">
        <w:t>in 2006</w:t>
      </w:r>
      <w:r w:rsidR="006B7C8F" w:rsidRPr="00A56475">
        <w:t xml:space="preserve"> the focus was on </w:t>
      </w:r>
      <w:r w:rsidR="007E7A14" w:rsidRPr="00A56475">
        <w:t>Muslim women</w:t>
      </w:r>
      <w:r w:rsidR="00B61596" w:rsidRPr="00A56475">
        <w:t xml:space="preserve"> and </w:t>
      </w:r>
      <w:r w:rsidR="006B7C8F" w:rsidRPr="00A56475">
        <w:t>their appearance and dress</w:t>
      </w:r>
      <w:r w:rsidR="00401C2C" w:rsidRPr="00A56475">
        <w:t>.</w:t>
      </w:r>
      <w:r w:rsidR="003E6A4F" w:rsidRPr="00A56475">
        <w:t xml:space="preserve"> </w:t>
      </w:r>
      <w:r w:rsidR="00963055" w:rsidRPr="00A56475">
        <w:t>In this context, it is p</w:t>
      </w:r>
      <w:r w:rsidR="003E6A4F" w:rsidRPr="00A56475">
        <w:t>erhaps ironic</w:t>
      </w:r>
      <w:r w:rsidR="00963055" w:rsidRPr="00A56475">
        <w:t xml:space="preserve"> to note that</w:t>
      </w:r>
      <w:r w:rsidR="003E6A4F" w:rsidRPr="00A56475">
        <w:t xml:space="preserve"> much of the coverage of the fatwa focused on the </w:t>
      </w:r>
      <w:r w:rsidR="00386820" w:rsidRPr="00A56475">
        <w:t xml:space="preserve">perceived </w:t>
      </w:r>
      <w:r w:rsidR="003E6A4F" w:rsidRPr="00A56475">
        <w:t xml:space="preserve">threat posed by Muslims to freedom of speech, which was upheld as a fundamental British value </w:t>
      </w:r>
      <w:r w:rsidR="006D6149" w:rsidRPr="00A56475">
        <w:t xml:space="preserve">Muslim communities </w:t>
      </w:r>
      <w:r w:rsidR="003E6A4F" w:rsidRPr="00A56475">
        <w:t xml:space="preserve">were </w:t>
      </w:r>
      <w:r w:rsidR="00330090" w:rsidRPr="00A56475">
        <w:t xml:space="preserve">constructed as threatening through </w:t>
      </w:r>
      <w:r w:rsidR="009D3F23" w:rsidRPr="00A56475">
        <w:t>their approval of the fatwa.</w:t>
      </w:r>
    </w:p>
    <w:p w:rsidR="004C0674" w:rsidRPr="00A56475" w:rsidRDefault="003D73C2" w:rsidP="008F7BE2">
      <w:pPr>
        <w:suppressAutoHyphens w:val="0"/>
        <w:spacing w:line="480" w:lineRule="auto"/>
        <w:ind w:firstLine="720"/>
        <w:jc w:val="both"/>
      </w:pPr>
      <w:r>
        <w:t>W</w:t>
      </w:r>
      <w:r w:rsidR="00244B70" w:rsidRPr="00A56475">
        <w:t>e</w:t>
      </w:r>
      <w:r>
        <w:t xml:space="preserve"> now</w:t>
      </w:r>
      <w:r w:rsidR="00244B70" w:rsidRPr="00A56475">
        <w:t xml:space="preserve"> turn to an analysis of word usage in the headlines of the collected news items</w:t>
      </w:r>
      <w:r>
        <w:t xml:space="preserve"> </w:t>
      </w:r>
      <w:r w:rsidR="00244B70" w:rsidRPr="00A56475">
        <w:t xml:space="preserve">to draw an overall picture of coverage of </w:t>
      </w:r>
      <w:r w:rsidR="000D3FF0" w:rsidRPr="00A56475">
        <w:t>these</w:t>
      </w:r>
      <w:r w:rsidR="003A0DA1" w:rsidRPr="00A56475">
        <w:t xml:space="preserve"> communities</w:t>
      </w:r>
      <w:r w:rsidR="00244B70" w:rsidRPr="00A56475">
        <w:t xml:space="preserve"> in the press</w:t>
      </w:r>
      <w:r w:rsidR="00ED606C" w:rsidRPr="00A56475">
        <w:t xml:space="preserve"> between 1974 and 2007</w:t>
      </w:r>
      <w:r w:rsidR="00244B70" w:rsidRPr="00A56475">
        <w:t>.</w:t>
      </w:r>
      <w:r w:rsidR="00505819" w:rsidRPr="00A56475">
        <w:t xml:space="preserve"> </w:t>
      </w:r>
      <w:r w:rsidR="00B76362" w:rsidRPr="00A56475">
        <w:t xml:space="preserve">We focused on </w:t>
      </w:r>
      <w:r w:rsidR="002B500E" w:rsidRPr="00A56475">
        <w:t xml:space="preserve">the </w:t>
      </w:r>
      <w:r w:rsidR="00B76362" w:rsidRPr="00A56475">
        <w:t xml:space="preserve">headlines because research has shown that </w:t>
      </w:r>
      <w:r w:rsidR="0003264F" w:rsidRPr="00A56475">
        <w:t>‘</w:t>
      </w:r>
      <w:r w:rsidR="00B76362" w:rsidRPr="00A56475">
        <w:rPr>
          <w:lang w:eastAsia="en-US"/>
        </w:rPr>
        <w:t xml:space="preserve">skilled newspaper readers spend most of their reading time </w:t>
      </w:r>
      <w:r w:rsidR="00B76362" w:rsidRPr="00A56475">
        <w:rPr>
          <w:u w:val="single"/>
          <w:lang w:eastAsia="en-US"/>
        </w:rPr>
        <w:t>scanning</w:t>
      </w:r>
      <w:r w:rsidR="00B76362" w:rsidRPr="00A56475">
        <w:rPr>
          <w:lang w:eastAsia="en-US"/>
        </w:rPr>
        <w:t xml:space="preserve"> the headlines – rather than reading the stories</w:t>
      </w:r>
      <w:r w:rsidR="0003264F" w:rsidRPr="00A56475">
        <w:rPr>
          <w:lang w:eastAsia="en-US"/>
        </w:rPr>
        <w:t>’</w:t>
      </w:r>
      <w:r w:rsidR="00B76362" w:rsidRPr="00A56475">
        <w:rPr>
          <w:lang w:eastAsia="en-US"/>
        </w:rPr>
        <w:t xml:space="preserve"> </w:t>
      </w:r>
      <w:r w:rsidR="00B76362" w:rsidRPr="00A56475">
        <w:t xml:space="preserve">(Dor, 2003: 696, italics in original). </w:t>
      </w:r>
      <w:r w:rsidR="009C156A" w:rsidRPr="00A56475">
        <w:t>The first thing to note is that a</w:t>
      </w:r>
      <w:r w:rsidR="00244B70" w:rsidRPr="00A56475">
        <w:t xml:space="preserve"> more diverse vocabulary is </w:t>
      </w:r>
      <w:r w:rsidR="008B6F5F" w:rsidRPr="00A56475">
        <w:t xml:space="preserve">used </w:t>
      </w:r>
      <w:r w:rsidR="00244B70" w:rsidRPr="00A56475">
        <w:t xml:space="preserve">in Muslim-related </w:t>
      </w:r>
      <w:r w:rsidR="00EE4530" w:rsidRPr="00A56475">
        <w:t>headlines</w:t>
      </w:r>
      <w:r w:rsidR="008B6F5F" w:rsidRPr="00A56475">
        <w:t xml:space="preserve"> (4,003 </w:t>
      </w:r>
      <w:r w:rsidR="00D61F82" w:rsidRPr="00A56475">
        <w:t xml:space="preserve">different </w:t>
      </w:r>
      <w:r w:rsidR="008B6F5F" w:rsidRPr="00A56475">
        <w:t>words)</w:t>
      </w:r>
      <w:r w:rsidR="00244B70" w:rsidRPr="00A56475">
        <w:t xml:space="preserve"> than </w:t>
      </w:r>
      <w:r w:rsidR="005F09F4" w:rsidRPr="00A56475">
        <w:t xml:space="preserve">in </w:t>
      </w:r>
      <w:r w:rsidR="00244B70" w:rsidRPr="00A56475">
        <w:t>Irish-related ones</w:t>
      </w:r>
      <w:r w:rsidR="008B6F5F" w:rsidRPr="00A56475">
        <w:t xml:space="preserve"> (2,644)</w:t>
      </w:r>
      <w:r w:rsidR="00244B70" w:rsidRPr="00A56475">
        <w:t xml:space="preserve">. </w:t>
      </w:r>
      <w:r w:rsidR="008B6F5F" w:rsidRPr="00A56475">
        <w:t>This d</w:t>
      </w:r>
      <w:r w:rsidR="00C45EE6" w:rsidRPr="00A56475">
        <w:t>i</w:t>
      </w:r>
      <w:r w:rsidR="0064612E" w:rsidRPr="00A56475">
        <w:t xml:space="preserve">screpancy </w:t>
      </w:r>
      <w:r w:rsidR="0069188E" w:rsidRPr="00A56475">
        <w:t xml:space="preserve">may be a reflection of </w:t>
      </w:r>
      <w:r w:rsidR="00244B70" w:rsidRPr="00A56475">
        <w:t xml:space="preserve">constraints imposed upon </w:t>
      </w:r>
      <w:r w:rsidR="00827B70" w:rsidRPr="00A56475">
        <w:t>newsmakers</w:t>
      </w:r>
      <w:r w:rsidR="00244B70" w:rsidRPr="00A56475">
        <w:t xml:space="preserve"> when covering Irish-related issues.</w:t>
      </w:r>
      <w:r w:rsidR="00C101F2" w:rsidRPr="00A56475">
        <w:t xml:space="preserve"> Schlesinger (1992: xviii) points out that </w:t>
      </w:r>
      <w:r w:rsidR="00AA79EF" w:rsidRPr="00A56475">
        <w:t xml:space="preserve">PTA 1974 </w:t>
      </w:r>
      <w:r w:rsidR="0003264F" w:rsidRPr="00A56475">
        <w:t>‘</w:t>
      </w:r>
      <w:r w:rsidR="00C101F2" w:rsidRPr="00A56475">
        <w:t>was unquestionably seen in broadcasting circles as instituting an effective ban on interviews with members of illegal organizations, especially Irish republican ones.</w:t>
      </w:r>
      <w:r w:rsidR="0003264F" w:rsidRPr="00A56475">
        <w:t>’</w:t>
      </w:r>
      <w:r w:rsidR="00C101F2" w:rsidRPr="00A56475">
        <w:t xml:space="preserve"> This self-censorship was followed by state censorship, when the </w:t>
      </w:r>
      <w:r w:rsidR="00244B70" w:rsidRPr="00A56475">
        <w:t xml:space="preserve">Broadcasting Ban </w:t>
      </w:r>
      <w:r w:rsidR="00C101F2" w:rsidRPr="00A56475">
        <w:t xml:space="preserve">was </w:t>
      </w:r>
      <w:r w:rsidR="00244B70" w:rsidRPr="00A56475">
        <w:t>enfo</w:t>
      </w:r>
      <w:r w:rsidR="004C0674" w:rsidRPr="00A56475">
        <w:t xml:space="preserve">rced between 1988 and 1994, </w:t>
      </w:r>
      <w:r w:rsidR="006F0204" w:rsidRPr="00A56475">
        <w:t xml:space="preserve">which had a knock-on effect on the press and </w:t>
      </w:r>
      <w:r w:rsidR="00244B70" w:rsidRPr="00A56475">
        <w:t xml:space="preserve">for </w:t>
      </w:r>
      <w:r w:rsidR="00244B70" w:rsidRPr="00A56475">
        <w:lastRenderedPageBreak/>
        <w:t>which there exist</w:t>
      </w:r>
      <w:r w:rsidR="00C45EE6" w:rsidRPr="00A56475">
        <w:t>s</w:t>
      </w:r>
      <w:r w:rsidR="00622635" w:rsidRPr="00A56475">
        <w:t>, as yet,</w:t>
      </w:r>
      <w:r w:rsidR="00E9596C" w:rsidRPr="00A56475">
        <w:t xml:space="preserve"> </w:t>
      </w:r>
      <w:r w:rsidR="00C45EE6" w:rsidRPr="00A56475">
        <w:t xml:space="preserve">no </w:t>
      </w:r>
      <w:r w:rsidR="00B37C43" w:rsidRPr="00A56475">
        <w:t>“</w:t>
      </w:r>
      <w:r w:rsidR="00C94962" w:rsidRPr="00A56475">
        <w:t>Muslim</w:t>
      </w:r>
      <w:r w:rsidR="00B37C43" w:rsidRPr="00A56475">
        <w:t>”</w:t>
      </w:r>
      <w:r w:rsidR="00C94962" w:rsidRPr="00A56475">
        <w:t xml:space="preserve"> </w:t>
      </w:r>
      <w:r w:rsidR="00C45EE6" w:rsidRPr="00A56475">
        <w:t>equivalent</w:t>
      </w:r>
      <w:r w:rsidR="00B60D91" w:rsidRPr="00A56475">
        <w:t xml:space="preserve"> </w:t>
      </w:r>
      <w:r w:rsidR="00AD303A" w:rsidRPr="00A56475">
        <w:t>(</w:t>
      </w:r>
      <w:r w:rsidR="00142165" w:rsidRPr="00A56475">
        <w:t>although s</w:t>
      </w:r>
      <w:r w:rsidR="00B80956" w:rsidRPr="00A56475">
        <w:t>e</w:t>
      </w:r>
      <w:r w:rsidR="00142165" w:rsidRPr="00A56475">
        <w:t>e Cram, 2006</w:t>
      </w:r>
      <w:r w:rsidR="006226AA" w:rsidRPr="00A56475">
        <w:t xml:space="preserve">; see </w:t>
      </w:r>
      <w:r w:rsidR="00D07B1E">
        <w:t xml:space="preserve">also </w:t>
      </w:r>
      <w:r w:rsidR="006226AA" w:rsidRPr="00A56475">
        <w:t>Curtis, 1998; Lloyd, 1995</w:t>
      </w:r>
      <w:r w:rsidR="00AD303A" w:rsidRPr="00A56475">
        <w:t>)</w:t>
      </w:r>
      <w:r w:rsidR="00B34A51" w:rsidRPr="00A56475">
        <w:t>.</w:t>
      </w:r>
    </w:p>
    <w:p w:rsidR="00244B70" w:rsidRPr="00A56475" w:rsidRDefault="000530A6" w:rsidP="008F7BE2">
      <w:pPr>
        <w:suppressAutoHyphens w:val="0"/>
        <w:spacing w:line="480" w:lineRule="auto"/>
        <w:ind w:firstLine="720"/>
        <w:jc w:val="both"/>
      </w:pPr>
      <w:r w:rsidRPr="00A56475">
        <w:t>T</w:t>
      </w:r>
      <w:r w:rsidR="00244B70" w:rsidRPr="00A56475">
        <w:t xml:space="preserve">here </w:t>
      </w:r>
      <w:r w:rsidRPr="00A56475">
        <w:t xml:space="preserve">is </w:t>
      </w:r>
      <w:r w:rsidR="00D81CDD" w:rsidRPr="00A56475">
        <w:t xml:space="preserve">little </w:t>
      </w:r>
      <w:r w:rsidR="00244B70" w:rsidRPr="00A56475">
        <w:t>overlap between words used in Irish- and Muslim-related headlines</w:t>
      </w:r>
      <w:r w:rsidR="00C36DA0" w:rsidRPr="00A56475">
        <w:t xml:space="preserve">, which </w:t>
      </w:r>
      <w:r w:rsidR="001B2303" w:rsidRPr="00A56475">
        <w:t>suggests</w:t>
      </w:r>
      <w:r w:rsidR="00C36DA0" w:rsidRPr="00A56475">
        <w:t xml:space="preserve"> that </w:t>
      </w:r>
      <w:r w:rsidR="00ED264F" w:rsidRPr="00A56475">
        <w:t>Irish and Muslim</w:t>
      </w:r>
      <w:r w:rsidR="003A0DA1" w:rsidRPr="00A56475">
        <w:t xml:space="preserve"> communities</w:t>
      </w:r>
      <w:r w:rsidR="00C36DA0" w:rsidRPr="00A56475">
        <w:t xml:space="preserve"> are portrayed differently in the news (</w:t>
      </w:r>
      <w:r w:rsidR="009C2FCD" w:rsidRPr="00A56475">
        <w:t>Table 3</w:t>
      </w:r>
      <w:r w:rsidR="00C04C74" w:rsidRPr="00A56475">
        <w:t>)</w:t>
      </w:r>
      <w:r w:rsidR="00C36DA0" w:rsidRPr="00A56475">
        <w:t>.</w:t>
      </w:r>
      <w:r w:rsidR="00864F8D" w:rsidRPr="00A56475">
        <w:t xml:space="preserve"> </w:t>
      </w:r>
      <w:r w:rsidR="00244B70" w:rsidRPr="00A56475">
        <w:t>POLICE and TERROR are th</w:t>
      </w:r>
      <w:r w:rsidR="00236A31" w:rsidRPr="00A56475">
        <w:t>e only words used in the top 20</w:t>
      </w:r>
      <w:r w:rsidR="00244B70" w:rsidRPr="00A56475">
        <w:t xml:space="preserve">s of both sets of news items, albeit with greatly varying frequencies. POLICE (204) is </w:t>
      </w:r>
      <w:r w:rsidR="00860584" w:rsidRPr="00A56475">
        <w:t xml:space="preserve">the </w:t>
      </w:r>
      <w:r w:rsidR="00244B70" w:rsidRPr="00A56475">
        <w:t xml:space="preserve">most frequently </w:t>
      </w:r>
      <w:r w:rsidR="005505C5" w:rsidRPr="00A56475">
        <w:t>used</w:t>
      </w:r>
      <w:r w:rsidR="00244B70" w:rsidRPr="00A56475">
        <w:t xml:space="preserve"> </w:t>
      </w:r>
      <w:r w:rsidR="00860584" w:rsidRPr="00A56475">
        <w:t xml:space="preserve">word </w:t>
      </w:r>
      <w:r w:rsidR="00244B70" w:rsidRPr="00A56475">
        <w:t xml:space="preserve">in Muslim-related headlines, </w:t>
      </w:r>
      <w:r w:rsidR="0020174E" w:rsidRPr="00A56475">
        <w:t xml:space="preserve">with </w:t>
      </w:r>
      <w:r w:rsidR="00244B70" w:rsidRPr="00A56475">
        <w:t xml:space="preserve">associated terms such as (Sir Ian) BLAIR (95), MET (i.e. London Metropolitan Police, </w:t>
      </w:r>
      <w:r w:rsidR="0020174E" w:rsidRPr="00A56475">
        <w:t>46) and CHIEF (47) also figuring</w:t>
      </w:r>
      <w:r w:rsidR="00244B70" w:rsidRPr="00A56475">
        <w:t xml:space="preserve"> prominently. </w:t>
      </w:r>
      <w:r w:rsidR="001B2303" w:rsidRPr="00A56475">
        <w:t>In contras</w:t>
      </w:r>
      <w:r w:rsidR="009C6974" w:rsidRPr="00A56475">
        <w:t xml:space="preserve">t, </w:t>
      </w:r>
      <w:r w:rsidR="00244B70" w:rsidRPr="00A56475">
        <w:t xml:space="preserve">POLICE </w:t>
      </w:r>
      <w:r w:rsidR="009C6974" w:rsidRPr="00A56475">
        <w:t>appears 69 times</w:t>
      </w:r>
      <w:r w:rsidR="00244B70" w:rsidRPr="00A56475">
        <w:t xml:space="preserve"> in Irish-related headlines. This di</w:t>
      </w:r>
      <w:r w:rsidR="007D61B5" w:rsidRPr="00A56475">
        <w:t>fference</w:t>
      </w:r>
      <w:r w:rsidR="00244B70" w:rsidRPr="00A56475">
        <w:t xml:space="preserve"> is striking when considering that th</w:t>
      </w:r>
      <w:r w:rsidR="00FD0CF4" w:rsidRPr="00A56475">
        <w:t xml:space="preserve">e modus operandi of the police </w:t>
      </w:r>
      <w:r w:rsidR="00244B70" w:rsidRPr="00A56475">
        <w:t xml:space="preserve">was questioned </w:t>
      </w:r>
      <w:r w:rsidR="00ED0571" w:rsidRPr="00A56475">
        <w:t xml:space="preserve">intensively in the press </w:t>
      </w:r>
      <w:r w:rsidR="00244B70" w:rsidRPr="00A56475">
        <w:t>in the aftermath of the releases of the</w:t>
      </w:r>
      <w:r w:rsidR="005C4854" w:rsidRPr="00A56475">
        <w:t xml:space="preserve"> Guildford Four</w:t>
      </w:r>
      <w:r w:rsidR="00A95A54" w:rsidRPr="00A56475">
        <w:t xml:space="preserve"> and </w:t>
      </w:r>
      <w:r w:rsidR="005C4854" w:rsidRPr="00A56475">
        <w:t>Birmingham Six</w:t>
      </w:r>
      <w:r w:rsidR="00244B70" w:rsidRPr="00A56475">
        <w:t xml:space="preserve">, just as it was after the De Menezes shooting and </w:t>
      </w:r>
      <w:r w:rsidR="00391C60" w:rsidRPr="00A56475">
        <w:t xml:space="preserve">after </w:t>
      </w:r>
      <w:r w:rsidR="00244B70" w:rsidRPr="00A56475">
        <w:t xml:space="preserve">the </w:t>
      </w:r>
      <w:r w:rsidR="00433BDE" w:rsidRPr="00A56475">
        <w:t xml:space="preserve">botched </w:t>
      </w:r>
      <w:r w:rsidR="00244B70" w:rsidRPr="00A56475">
        <w:t xml:space="preserve">terror raids </w:t>
      </w:r>
      <w:r w:rsidR="00772416" w:rsidRPr="00A56475">
        <w:t>in</w:t>
      </w:r>
      <w:r w:rsidR="00244B70" w:rsidRPr="00A56475">
        <w:t xml:space="preserve"> Forest Gate and Birmingham.</w:t>
      </w:r>
      <w:r w:rsidR="000B323D" w:rsidRPr="00A56475">
        <w:t xml:space="preserve"> A</w:t>
      </w:r>
      <w:r w:rsidR="00FF29C6" w:rsidRPr="00A56475">
        <w:t xml:space="preserve">lthough </w:t>
      </w:r>
      <w:r w:rsidR="00556224" w:rsidRPr="00A56475">
        <w:t xml:space="preserve">we identified intensive </w:t>
      </w:r>
      <w:r w:rsidR="00FF29C6" w:rsidRPr="00A56475">
        <w:t xml:space="preserve">scrutiny of the </w:t>
      </w:r>
      <w:r w:rsidR="000B323D" w:rsidRPr="00A56475">
        <w:t>security apparatus</w:t>
      </w:r>
      <w:r w:rsidR="00FF29C6" w:rsidRPr="00A56475">
        <w:t xml:space="preserve"> in our sample of Irish-related events, </w:t>
      </w:r>
      <w:r w:rsidR="00556224" w:rsidRPr="00A56475">
        <w:t xml:space="preserve">this scrutiny </w:t>
      </w:r>
      <w:r w:rsidR="00FF29C6" w:rsidRPr="00A56475">
        <w:t xml:space="preserve">is </w:t>
      </w:r>
      <w:r w:rsidR="00556224" w:rsidRPr="00A56475">
        <w:t xml:space="preserve">even </w:t>
      </w:r>
      <w:r w:rsidR="00FF29C6" w:rsidRPr="00A56475">
        <w:t>more intensive in the recent period of Muslim-related events</w:t>
      </w:r>
      <w:r w:rsidR="001B2FBA" w:rsidRPr="00A56475">
        <w:t xml:space="preserve">. This </w:t>
      </w:r>
      <w:r w:rsidR="00FF29C6" w:rsidRPr="00A56475">
        <w:t xml:space="preserve">may </w:t>
      </w:r>
      <w:r w:rsidR="003B4D2C" w:rsidRPr="00A56475">
        <w:t xml:space="preserve">have </w:t>
      </w:r>
      <w:r w:rsidR="00FF29C6" w:rsidRPr="00A56475">
        <w:t>b</w:t>
      </w:r>
      <w:r w:rsidR="003B4D2C" w:rsidRPr="00A56475">
        <w:t>e</w:t>
      </w:r>
      <w:r w:rsidR="00FF29C6" w:rsidRPr="00A56475">
        <w:t>e</w:t>
      </w:r>
      <w:r w:rsidR="003B4D2C" w:rsidRPr="00A56475">
        <w:t>n</w:t>
      </w:r>
      <w:r w:rsidR="00FF29C6" w:rsidRPr="00A56475">
        <w:t xml:space="preserve"> influenced by a n</w:t>
      </w:r>
      <w:r w:rsidR="00A22D95" w:rsidRPr="00A56475">
        <w:t>umber of factors</w:t>
      </w:r>
      <w:r w:rsidR="00FC231B" w:rsidRPr="00A56475">
        <w:t>,</w:t>
      </w:r>
      <w:r w:rsidR="00A22D95" w:rsidRPr="00A56475">
        <w:t xml:space="preserve"> such as the </w:t>
      </w:r>
      <w:r w:rsidR="001B2FBA" w:rsidRPr="00A56475">
        <w:t xml:space="preserve">publication of the </w:t>
      </w:r>
      <w:r w:rsidR="00A22D95" w:rsidRPr="00A56475">
        <w:t>Macp</w:t>
      </w:r>
      <w:r w:rsidR="00FF29C6" w:rsidRPr="00A56475">
        <w:t xml:space="preserve">herson </w:t>
      </w:r>
      <w:r w:rsidR="00897FFE" w:rsidRPr="00A56475">
        <w:t xml:space="preserve">(1999) </w:t>
      </w:r>
      <w:r w:rsidR="00FF29C6" w:rsidRPr="00A56475">
        <w:t xml:space="preserve">report on the </w:t>
      </w:r>
      <w:r w:rsidR="00E22843" w:rsidRPr="00A56475">
        <w:t>enquiry into</w:t>
      </w:r>
      <w:r w:rsidR="00897FFE" w:rsidRPr="00A56475">
        <w:t xml:space="preserve"> the death of </w:t>
      </w:r>
      <w:r w:rsidR="00FF29C6" w:rsidRPr="00A56475">
        <w:t>Stephen Lawrence</w:t>
      </w:r>
      <w:r w:rsidR="00A22D95" w:rsidRPr="00A56475">
        <w:t xml:space="preserve">, </w:t>
      </w:r>
      <w:r w:rsidR="00897FFE" w:rsidRPr="00A56475">
        <w:t xml:space="preserve">which </w:t>
      </w:r>
      <w:r w:rsidR="00F64F65" w:rsidRPr="00A56475">
        <w:t>relat</w:t>
      </w:r>
      <w:r w:rsidR="00897FFE" w:rsidRPr="00A56475">
        <w:t xml:space="preserve">ed </w:t>
      </w:r>
      <w:r w:rsidR="00F64F65" w:rsidRPr="00A56475">
        <w:t xml:space="preserve">to </w:t>
      </w:r>
      <w:r w:rsidR="00A22D95" w:rsidRPr="00A56475">
        <w:t>institutional</w:t>
      </w:r>
      <w:r w:rsidR="000C2B64" w:rsidRPr="00A56475">
        <w:t>ized</w:t>
      </w:r>
      <w:r w:rsidR="00FF29C6" w:rsidRPr="00A56475">
        <w:t xml:space="preserve"> racism in th</w:t>
      </w:r>
      <w:r w:rsidR="00F64F65" w:rsidRPr="00A56475">
        <w:t>e police.</w:t>
      </w:r>
      <w:r w:rsidR="002A72A3" w:rsidRPr="00A56475">
        <w:t xml:space="preserve"> </w:t>
      </w:r>
      <w:r w:rsidR="00EF56E6" w:rsidRPr="00A56475">
        <w:t>Also, w</w:t>
      </w:r>
      <w:r w:rsidR="00FD0CF4" w:rsidRPr="00A56475">
        <w:t xml:space="preserve">hile </w:t>
      </w:r>
      <w:r w:rsidR="002A72A3" w:rsidRPr="00A56475">
        <w:t>large sections within the press were initially uncritical of police operations ta</w:t>
      </w:r>
      <w:r w:rsidR="00AE3838" w:rsidRPr="00A56475">
        <w:t>rgeting alleged Irish terrorist suspects</w:t>
      </w:r>
      <w:r w:rsidR="00FD0CF4" w:rsidRPr="00A56475">
        <w:t xml:space="preserve">, this </w:t>
      </w:r>
      <w:r w:rsidR="002A72A3" w:rsidRPr="00A56475">
        <w:t xml:space="preserve">attitude changed with the release of wrongfully arrested </w:t>
      </w:r>
      <w:r w:rsidR="00C64165" w:rsidRPr="00A56475">
        <w:t>people</w:t>
      </w:r>
      <w:r w:rsidR="002A72A3" w:rsidRPr="00A56475">
        <w:t xml:space="preserve"> on the basis of unsafe forensic evidence</w:t>
      </w:r>
      <w:r w:rsidR="00CF6797" w:rsidRPr="00A56475">
        <w:t>.</w:t>
      </w:r>
      <w:r w:rsidR="002A72A3" w:rsidRPr="00A56475">
        <w:t xml:space="preserve"> </w:t>
      </w:r>
      <w:r w:rsidR="005C4453" w:rsidRPr="00A56475">
        <w:t>When compared with coverage of Irish-related events, t</w:t>
      </w:r>
      <w:r w:rsidR="002A72A3" w:rsidRPr="00A56475">
        <w:t xml:space="preserve">he press </w:t>
      </w:r>
      <w:r w:rsidR="007F6443" w:rsidRPr="00A56475">
        <w:t>was quick</w:t>
      </w:r>
      <w:r w:rsidR="005636EA" w:rsidRPr="00A56475">
        <w:t>er</w:t>
      </w:r>
      <w:r w:rsidR="008F2557" w:rsidRPr="00A56475">
        <w:t xml:space="preserve"> to criticize </w:t>
      </w:r>
      <w:r w:rsidR="002A72A3" w:rsidRPr="00A56475">
        <w:t xml:space="preserve">the </w:t>
      </w:r>
      <w:r w:rsidR="005B075D" w:rsidRPr="00A56475">
        <w:t xml:space="preserve">state </w:t>
      </w:r>
      <w:r w:rsidR="002A72A3" w:rsidRPr="00A56475">
        <w:t>security apparatus</w:t>
      </w:r>
      <w:r w:rsidR="0052026B" w:rsidRPr="00A56475">
        <w:t xml:space="preserve"> in its reporting of Muslim-related events</w:t>
      </w:r>
      <w:r w:rsidR="00790B38" w:rsidRPr="00A56475">
        <w:t>,</w:t>
      </w:r>
      <w:r w:rsidR="00CF6797" w:rsidRPr="00A56475">
        <w:t xml:space="preserve"> </w:t>
      </w:r>
      <w:r w:rsidR="002A72A3" w:rsidRPr="00A56475">
        <w:t>adopt</w:t>
      </w:r>
      <w:r w:rsidR="00790B38" w:rsidRPr="00A56475">
        <w:t>ing</w:t>
      </w:r>
      <w:r w:rsidR="002A72A3" w:rsidRPr="00A56475">
        <w:t xml:space="preserve"> a more guarded stance</w:t>
      </w:r>
      <w:r w:rsidR="002030C2" w:rsidRPr="00A56475">
        <w:t xml:space="preserve"> </w:t>
      </w:r>
      <w:r w:rsidR="00F0470D" w:rsidRPr="00A56475">
        <w:t xml:space="preserve">when </w:t>
      </w:r>
      <w:r w:rsidR="00E04B7C" w:rsidRPr="00A56475">
        <w:t>covering</w:t>
      </w:r>
      <w:r w:rsidR="00F0470D" w:rsidRPr="00A56475">
        <w:t xml:space="preserve"> anti-terrorist </w:t>
      </w:r>
      <w:r w:rsidR="002030C2" w:rsidRPr="00A56475">
        <w:t>operations.</w:t>
      </w:r>
    </w:p>
    <w:p w:rsidR="00864F8D" w:rsidRPr="00A56475" w:rsidRDefault="00864F8D" w:rsidP="008F7BE2">
      <w:pPr>
        <w:suppressAutoHyphens w:val="0"/>
        <w:spacing w:line="480" w:lineRule="auto"/>
        <w:jc w:val="both"/>
      </w:pPr>
    </w:p>
    <w:p w:rsidR="00864F8D" w:rsidRPr="00A56475" w:rsidRDefault="009C2FCD" w:rsidP="008F7BE2">
      <w:pPr>
        <w:suppressAutoHyphens w:val="0"/>
        <w:spacing w:line="480" w:lineRule="auto"/>
        <w:jc w:val="both"/>
      </w:pPr>
      <w:r w:rsidRPr="00A56475">
        <w:t>TABLE 3</w:t>
      </w:r>
      <w:r w:rsidR="00864F8D" w:rsidRPr="00A56475">
        <w:t xml:space="preserve"> ABOUT HERE</w:t>
      </w:r>
    </w:p>
    <w:p w:rsidR="00864F8D" w:rsidRPr="00A56475" w:rsidRDefault="00864F8D" w:rsidP="008F7BE2">
      <w:pPr>
        <w:suppressAutoHyphens w:val="0"/>
        <w:spacing w:line="480" w:lineRule="auto"/>
        <w:jc w:val="both"/>
      </w:pPr>
    </w:p>
    <w:p w:rsidR="00244B70" w:rsidRPr="00A56475" w:rsidRDefault="00C66757" w:rsidP="008F7BE2">
      <w:pPr>
        <w:suppressAutoHyphens w:val="0"/>
        <w:spacing w:line="480" w:lineRule="auto"/>
        <w:ind w:firstLine="720"/>
        <w:jc w:val="both"/>
      </w:pPr>
      <w:r w:rsidRPr="00A56475">
        <w:t>The prevalence of terrorism in Irish- and Muslim-related headlines suggests that these communities are constructed as “suspect” and as a threat in the press, although a more direct ass</w:t>
      </w:r>
      <w:r w:rsidR="002E545F" w:rsidRPr="00A56475">
        <w:t>ociation is made between Muslim communities</w:t>
      </w:r>
      <w:r w:rsidRPr="00A56475">
        <w:t xml:space="preserve"> and terrorism than is the </w:t>
      </w:r>
      <w:r w:rsidR="00F54485" w:rsidRPr="00A56475">
        <w:t xml:space="preserve">case </w:t>
      </w:r>
      <w:r w:rsidR="002E545F" w:rsidRPr="00A56475">
        <w:t xml:space="preserve">for </w:t>
      </w:r>
      <w:r w:rsidRPr="00A56475">
        <w:t xml:space="preserve">Irish </w:t>
      </w:r>
      <w:r w:rsidR="002E545F" w:rsidRPr="00A56475">
        <w:t>communities</w:t>
      </w:r>
      <w:r w:rsidRPr="00A56475">
        <w:t xml:space="preserve">. Indeed, </w:t>
      </w:r>
      <w:r w:rsidR="00244B70" w:rsidRPr="00A56475">
        <w:t xml:space="preserve">TERROR is the second most frequently used </w:t>
      </w:r>
      <w:r w:rsidR="002E545F" w:rsidRPr="00A56475">
        <w:t>term</w:t>
      </w:r>
      <w:r w:rsidR="00244B70" w:rsidRPr="00A56475">
        <w:t xml:space="preserve"> in Muslim-related headlines, where it appears</w:t>
      </w:r>
      <w:r w:rsidRPr="00A56475">
        <w:t xml:space="preserve"> 170 times,</w:t>
      </w:r>
      <w:r w:rsidR="00244B70" w:rsidRPr="00A56475">
        <w:t xml:space="preserve"> </w:t>
      </w:r>
      <w:r w:rsidRPr="00A56475">
        <w:t>with</w:t>
      </w:r>
      <w:r w:rsidR="00244B70" w:rsidRPr="00A56475">
        <w:t xml:space="preserve"> th</w:t>
      </w:r>
      <w:r w:rsidRPr="00A56475">
        <w:t>e associated term ATTACK appearing</w:t>
      </w:r>
      <w:r w:rsidR="00244B70" w:rsidRPr="00A56475">
        <w:t xml:space="preserve"> 57 times. </w:t>
      </w:r>
      <w:r w:rsidRPr="00A56475">
        <w:t xml:space="preserve">In Irish-related headlines, </w:t>
      </w:r>
      <w:r w:rsidR="00275050" w:rsidRPr="00A56475">
        <w:t xml:space="preserve">TERROR </w:t>
      </w:r>
      <w:r w:rsidR="0005496B" w:rsidRPr="00A56475">
        <w:t>only</w:t>
      </w:r>
      <w:r w:rsidR="004D4EAE" w:rsidRPr="00A56475">
        <w:t xml:space="preserve"> </w:t>
      </w:r>
      <w:r w:rsidR="00275050" w:rsidRPr="00A56475">
        <w:t>appears 30 times</w:t>
      </w:r>
      <w:r w:rsidR="00244B70" w:rsidRPr="00A56475">
        <w:t xml:space="preserve">, </w:t>
      </w:r>
      <w:r w:rsidR="004D4EAE" w:rsidRPr="00A56475">
        <w:t>but</w:t>
      </w:r>
      <w:r w:rsidRPr="00A56475">
        <w:t xml:space="preserve"> the </w:t>
      </w:r>
      <w:r w:rsidR="00244B70" w:rsidRPr="00A56475">
        <w:t>associated terms</w:t>
      </w:r>
      <w:r w:rsidR="00275050" w:rsidRPr="00A56475">
        <w:t xml:space="preserve"> IRA and</w:t>
      </w:r>
      <w:r w:rsidR="00244B70" w:rsidRPr="00A56475">
        <w:t xml:space="preserve"> BOMB </w:t>
      </w:r>
      <w:r w:rsidR="004D4EAE" w:rsidRPr="00A56475">
        <w:t>appear</w:t>
      </w:r>
      <w:r w:rsidRPr="00A56475">
        <w:t xml:space="preserve"> 124 and </w:t>
      </w:r>
      <w:r w:rsidR="00244B70" w:rsidRPr="00A56475">
        <w:t>71</w:t>
      </w:r>
      <w:r w:rsidRPr="00A56475">
        <w:t xml:space="preserve"> times, respectively</w:t>
      </w:r>
      <w:r w:rsidR="00244B70" w:rsidRPr="00A56475">
        <w:t>.</w:t>
      </w:r>
      <w:r w:rsidR="00B20B3B" w:rsidRPr="00A56475">
        <w:t xml:space="preserve"> </w:t>
      </w:r>
      <w:r w:rsidR="00275050" w:rsidRPr="00A56475">
        <w:t>This leads us to conclude that w</w:t>
      </w:r>
      <w:r w:rsidR="00273C80" w:rsidRPr="00A56475">
        <w:t>hile</w:t>
      </w:r>
      <w:r w:rsidR="00244B70" w:rsidRPr="00A56475">
        <w:t xml:space="preserve"> terrorism i</w:t>
      </w:r>
      <w:r w:rsidR="00244B70" w:rsidRPr="00A56475" w:rsidDel="00582D14">
        <w:t xml:space="preserve">s </w:t>
      </w:r>
      <w:r w:rsidR="00244B70" w:rsidRPr="00A56475">
        <w:t xml:space="preserve">more frequently associated with the IRA than with Irish </w:t>
      </w:r>
      <w:r w:rsidR="00F2723B" w:rsidRPr="00A56475">
        <w:t>communities</w:t>
      </w:r>
      <w:r w:rsidR="00273C80" w:rsidRPr="00A56475">
        <w:t>, M</w:t>
      </w:r>
      <w:r w:rsidR="00244B70" w:rsidRPr="00A56475">
        <w:t>uslim</w:t>
      </w:r>
      <w:r w:rsidR="003A0DA1" w:rsidRPr="00A56475">
        <w:t xml:space="preserve"> communities</w:t>
      </w:r>
      <w:r w:rsidR="00244B70" w:rsidRPr="00A56475">
        <w:t xml:space="preserve"> </w:t>
      </w:r>
      <w:r w:rsidR="00E9452F" w:rsidRPr="00A56475">
        <w:t xml:space="preserve">as a whole </w:t>
      </w:r>
      <w:r w:rsidR="00D01D7E" w:rsidRPr="00A56475">
        <w:t xml:space="preserve">tend to be </w:t>
      </w:r>
      <w:r w:rsidR="00244B70" w:rsidRPr="00A56475">
        <w:t xml:space="preserve">associated more directly with terrorism. This is </w:t>
      </w:r>
      <w:r w:rsidR="00505D47" w:rsidRPr="00A56475">
        <w:t xml:space="preserve">also </w:t>
      </w:r>
      <w:r w:rsidR="00244B70" w:rsidRPr="00A56475">
        <w:t xml:space="preserve">evidenced in al-Qaeda only </w:t>
      </w:r>
      <w:r w:rsidR="00DC43A0" w:rsidRPr="00A56475">
        <w:t>appearing</w:t>
      </w:r>
      <w:r w:rsidR="00244B70" w:rsidRPr="00A56475">
        <w:t xml:space="preserve"> twice in Muslim-related headlines, </w:t>
      </w:r>
      <w:r w:rsidR="006A1919" w:rsidRPr="00A56475">
        <w:t xml:space="preserve">with no other </w:t>
      </w:r>
      <w:r w:rsidR="00F66DA6" w:rsidRPr="00A56475">
        <w:t>comparable</w:t>
      </w:r>
      <w:r w:rsidR="00CF4944" w:rsidRPr="00A56475">
        <w:t xml:space="preserve"> organization</w:t>
      </w:r>
      <w:r w:rsidR="006A1919" w:rsidRPr="00A56475">
        <w:t xml:space="preserve"> mentioned.</w:t>
      </w:r>
      <w:r w:rsidR="0052651F" w:rsidRPr="00A56475">
        <w:t xml:space="preserve"> The absence of paramilitary </w:t>
      </w:r>
      <w:r w:rsidR="009971D2" w:rsidRPr="00A56475">
        <w:t>organizations</w:t>
      </w:r>
      <w:r w:rsidR="0052651F" w:rsidRPr="00A56475">
        <w:t xml:space="preserve"> </w:t>
      </w:r>
      <w:r w:rsidR="009971D2" w:rsidRPr="00A56475">
        <w:t xml:space="preserve">other </w:t>
      </w:r>
      <w:r w:rsidR="0052651F" w:rsidRPr="00A56475">
        <w:t xml:space="preserve">than the IRA in the headlines is remarkable in its own right, in that the Northern Ireland conflict comes to be defined almost exclusively in terms of </w:t>
      </w:r>
      <w:r w:rsidR="009971D2" w:rsidRPr="00A56475">
        <w:t>the IRA’s agenda, thereby eliding the complexity of the conflict.</w:t>
      </w:r>
      <w:r w:rsidR="004E7B6C" w:rsidRPr="00A56475">
        <w:t xml:space="preserve"> </w:t>
      </w:r>
      <w:r w:rsidR="00A93206" w:rsidRPr="00A56475">
        <w:t>On</w:t>
      </w:r>
      <w:r w:rsidR="009D5AE3" w:rsidRPr="00A56475">
        <w:t>e potential</w:t>
      </w:r>
      <w:r w:rsidR="00A93206" w:rsidRPr="00A56475">
        <w:t xml:space="preserve"> effect of this is that </w:t>
      </w:r>
      <w:r w:rsidR="004E7B6C" w:rsidRPr="00A56475">
        <w:t xml:space="preserve">Irish communities </w:t>
      </w:r>
      <w:r w:rsidR="009D5AE3" w:rsidRPr="00A56475">
        <w:t xml:space="preserve">come to be indirectly associated </w:t>
      </w:r>
      <w:r w:rsidR="004E7B6C" w:rsidRPr="00A56475">
        <w:t xml:space="preserve">with the IRA, thereby reinforcing the notion that </w:t>
      </w:r>
      <w:r w:rsidR="004E7B6C" w:rsidRPr="00A56475">
        <w:rPr>
          <w:u w:val="single"/>
        </w:rPr>
        <w:t>the Irish</w:t>
      </w:r>
      <w:r w:rsidR="004E7B6C" w:rsidRPr="00A56475">
        <w:t xml:space="preserve"> are a threat to Britain.</w:t>
      </w:r>
    </w:p>
    <w:p w:rsidR="002615FF" w:rsidRPr="00A56475" w:rsidRDefault="00E425CF" w:rsidP="008F7BE2">
      <w:pPr>
        <w:suppressAutoHyphens w:val="0"/>
        <w:spacing w:line="480" w:lineRule="auto"/>
        <w:ind w:firstLine="720"/>
        <w:jc w:val="both"/>
      </w:pPr>
      <w:r w:rsidRPr="00A56475">
        <w:t xml:space="preserve">There is a </w:t>
      </w:r>
      <w:r w:rsidR="00407FDD" w:rsidRPr="00A56475">
        <w:t xml:space="preserve">remarkable </w:t>
      </w:r>
      <w:r w:rsidR="00244B70" w:rsidRPr="00A56475">
        <w:t>difference i</w:t>
      </w:r>
      <w:r w:rsidR="00801DC8" w:rsidRPr="00A56475">
        <w:t>n</w:t>
      </w:r>
      <w:r w:rsidR="00244B70" w:rsidRPr="00A56475">
        <w:t xml:space="preserve"> usage of </w:t>
      </w:r>
      <w:r w:rsidR="00050C14" w:rsidRPr="00A56475">
        <w:t xml:space="preserve">the terms </w:t>
      </w:r>
      <w:r w:rsidR="00244B70" w:rsidRPr="00A56475">
        <w:t xml:space="preserve">OUR </w:t>
      </w:r>
      <w:r w:rsidR="008F283C" w:rsidRPr="00A56475">
        <w:t xml:space="preserve">and US </w:t>
      </w:r>
      <w:r w:rsidR="005B67B7" w:rsidRPr="00A56475">
        <w:t>(</w:t>
      </w:r>
      <w:r w:rsidR="00734996" w:rsidRPr="00A56475">
        <w:t>excl.</w:t>
      </w:r>
      <w:r w:rsidR="005B67B7" w:rsidRPr="00A56475">
        <w:t xml:space="preserve"> the USA</w:t>
      </w:r>
      <w:r w:rsidR="00244B70" w:rsidRPr="00A56475">
        <w:t>)</w:t>
      </w:r>
      <w:r w:rsidR="00050C14" w:rsidRPr="00A56475">
        <w:t xml:space="preserve"> in the headlines</w:t>
      </w:r>
      <w:r w:rsidR="009F0DD9" w:rsidRPr="00A56475">
        <w:t>, w</w:t>
      </w:r>
      <w:r w:rsidR="00454BFD" w:rsidRPr="00A56475">
        <w:t>here they appear</w:t>
      </w:r>
      <w:r w:rsidR="009F0DD9" w:rsidRPr="00A56475">
        <w:t xml:space="preserve"> </w:t>
      </w:r>
      <w:r w:rsidR="000608CB" w:rsidRPr="00A56475">
        <w:t xml:space="preserve">for </w:t>
      </w:r>
      <w:r w:rsidRPr="00A56475">
        <w:t xml:space="preserve">a combined </w:t>
      </w:r>
      <w:r w:rsidR="00BB1C77" w:rsidRPr="00A56475">
        <w:t xml:space="preserve">total of </w:t>
      </w:r>
      <w:r w:rsidR="009F0DD9" w:rsidRPr="00A56475">
        <w:t xml:space="preserve">18 times in </w:t>
      </w:r>
      <w:r w:rsidR="00050C14" w:rsidRPr="00A56475">
        <w:t xml:space="preserve">the </w:t>
      </w:r>
      <w:r w:rsidR="009F0DD9" w:rsidRPr="00A56475">
        <w:t>Irish</w:t>
      </w:r>
      <w:r w:rsidR="00050C14" w:rsidRPr="00A56475">
        <w:t xml:space="preserve"> context</w:t>
      </w:r>
      <w:r w:rsidR="009F0DD9" w:rsidRPr="00A56475">
        <w:t xml:space="preserve">, compared to 81 times in </w:t>
      </w:r>
      <w:r w:rsidR="00050C14" w:rsidRPr="00A56475">
        <w:t xml:space="preserve">the </w:t>
      </w:r>
      <w:r w:rsidR="009F0DD9" w:rsidRPr="00A56475">
        <w:t>Muslim</w:t>
      </w:r>
      <w:r w:rsidR="00050C14" w:rsidRPr="00A56475">
        <w:t xml:space="preserve"> context</w:t>
      </w:r>
      <w:r w:rsidR="00244B70" w:rsidRPr="00A56475">
        <w:t xml:space="preserve">. </w:t>
      </w:r>
      <w:r w:rsidR="0020123A" w:rsidRPr="00A56475">
        <w:t>Also</w:t>
      </w:r>
      <w:r w:rsidR="00050C14" w:rsidRPr="00A56475">
        <w:t xml:space="preserve">, </w:t>
      </w:r>
      <w:r w:rsidR="00244B70" w:rsidRPr="00A56475">
        <w:t xml:space="preserve">OUR </w:t>
      </w:r>
      <w:r w:rsidR="00255F24" w:rsidRPr="00A56475">
        <w:t xml:space="preserve">and US </w:t>
      </w:r>
      <w:r w:rsidR="002C4295" w:rsidRPr="00A56475">
        <w:t xml:space="preserve">only </w:t>
      </w:r>
      <w:r w:rsidR="00255F24" w:rsidRPr="00A56475">
        <w:t>appear</w:t>
      </w:r>
      <w:r w:rsidR="00050C14" w:rsidRPr="00A56475">
        <w:t xml:space="preserve"> once in </w:t>
      </w:r>
      <w:r w:rsidR="00D337B9" w:rsidRPr="00A56475">
        <w:t xml:space="preserve">the </w:t>
      </w:r>
      <w:r w:rsidR="00255F24" w:rsidRPr="00A56475">
        <w:t>headline</w:t>
      </w:r>
      <w:r w:rsidR="002C4295" w:rsidRPr="00A56475">
        <w:t>s</w:t>
      </w:r>
      <w:r w:rsidR="00255F24" w:rsidRPr="00A56475">
        <w:t xml:space="preserve"> of the </w:t>
      </w:r>
      <w:r w:rsidR="00255F24" w:rsidRPr="00A56475">
        <w:rPr>
          <w:u w:val="single"/>
        </w:rPr>
        <w:t>Irish Post</w:t>
      </w:r>
      <w:r w:rsidR="00654BF9" w:rsidRPr="00A56475">
        <w:t xml:space="preserve">, in the same article </w:t>
      </w:r>
      <w:r w:rsidR="00255F24" w:rsidRPr="00A56475">
        <w:t>(‘Give us pea</w:t>
      </w:r>
      <w:r w:rsidR="003B22F4" w:rsidRPr="00A56475">
        <w:t xml:space="preserve">ce in our time,’ 11 </w:t>
      </w:r>
      <w:r w:rsidR="003B22F4" w:rsidRPr="00A56475">
        <w:lastRenderedPageBreak/>
        <w:t>April 1998);</w:t>
      </w:r>
      <w:r w:rsidR="003C3DF3" w:rsidRPr="00A56475">
        <w:t xml:space="preserve"> </w:t>
      </w:r>
      <w:r w:rsidR="00255F24" w:rsidRPr="00A56475">
        <w:t>OUR</w:t>
      </w:r>
      <w:r w:rsidR="00E8477A" w:rsidRPr="00A56475">
        <w:t xml:space="preserve"> </w:t>
      </w:r>
      <w:r w:rsidR="00255F24" w:rsidRPr="00A56475">
        <w:t>appears once in th</w:t>
      </w:r>
      <w:r w:rsidR="00D51D84" w:rsidRPr="00A56475">
        <w:t xml:space="preserve">e headlines </w:t>
      </w:r>
      <w:r w:rsidR="00255F24" w:rsidRPr="00A56475">
        <w:t xml:space="preserve">of the </w:t>
      </w:r>
      <w:r w:rsidR="00050C14" w:rsidRPr="00A56475">
        <w:rPr>
          <w:u w:val="single"/>
        </w:rPr>
        <w:t>Muslim News</w:t>
      </w:r>
      <w:r w:rsidR="00D11402" w:rsidRPr="00A56475">
        <w:t xml:space="preserve"> </w:t>
      </w:r>
      <w:r w:rsidR="00255F24" w:rsidRPr="00A56475">
        <w:t xml:space="preserve">(‘Not </w:t>
      </w:r>
      <w:r w:rsidR="003B22F4" w:rsidRPr="00A56475">
        <w:t xml:space="preserve">in our name’, 25 November 2005); and </w:t>
      </w:r>
      <w:r w:rsidR="003C3DF3" w:rsidRPr="00A56475">
        <w:t>neither term appear</w:t>
      </w:r>
      <w:r w:rsidR="003B22F4" w:rsidRPr="00A56475">
        <w:t>s in</w:t>
      </w:r>
      <w:r w:rsidR="00255F24" w:rsidRPr="00A56475">
        <w:t xml:space="preserve"> </w:t>
      </w:r>
      <w:r w:rsidR="00690F69" w:rsidRPr="00A56475">
        <w:t xml:space="preserve">those of </w:t>
      </w:r>
      <w:r w:rsidR="00E8477A" w:rsidRPr="00A56475">
        <w:t>the</w:t>
      </w:r>
      <w:r w:rsidR="00255F24" w:rsidRPr="00A56475">
        <w:t xml:space="preserve"> </w:t>
      </w:r>
      <w:r w:rsidR="009A0874" w:rsidRPr="00A56475">
        <w:rPr>
          <w:u w:val="single"/>
        </w:rPr>
        <w:t>Asian Times</w:t>
      </w:r>
      <w:r w:rsidR="00244B70" w:rsidRPr="00A56475">
        <w:t>. Th</w:t>
      </w:r>
      <w:r w:rsidR="00010D7E" w:rsidRPr="00A56475">
        <w:t xml:space="preserve">ese differences are </w:t>
      </w:r>
      <w:r w:rsidR="00244B70" w:rsidRPr="00A56475">
        <w:t xml:space="preserve">indicative of a tendency within national newspapers to portray Muslims as separate from the </w:t>
      </w:r>
      <w:r w:rsidR="00064361" w:rsidRPr="00A56475">
        <w:t xml:space="preserve">rest of the </w:t>
      </w:r>
      <w:r w:rsidR="00244B70" w:rsidRPr="00A56475">
        <w:t>population</w:t>
      </w:r>
      <w:r w:rsidR="008B5BD5" w:rsidRPr="00A56475">
        <w:t xml:space="preserve">, </w:t>
      </w:r>
      <w:r w:rsidR="00244B70" w:rsidRPr="00A56475">
        <w:t xml:space="preserve">with the subtext being that </w:t>
      </w:r>
      <w:r w:rsidR="007E4A55" w:rsidRPr="00A56475">
        <w:t>“they”</w:t>
      </w:r>
      <w:r w:rsidR="00244B70" w:rsidRPr="00A56475">
        <w:t xml:space="preserve"> </w:t>
      </w:r>
      <w:r w:rsidR="00B7322A" w:rsidRPr="00A56475">
        <w:t xml:space="preserve">(i.e. Muslims) </w:t>
      </w:r>
      <w:r w:rsidR="00244B70" w:rsidRPr="00A56475">
        <w:t xml:space="preserve">are not </w:t>
      </w:r>
      <w:r w:rsidR="00D95C51" w:rsidRPr="00A56475">
        <w:t xml:space="preserve">wholly </w:t>
      </w:r>
      <w:r w:rsidR="00244B70" w:rsidRPr="00A56475">
        <w:t>part of “us” or of “our” community</w:t>
      </w:r>
      <w:r w:rsidR="00D95C51" w:rsidRPr="00A56475">
        <w:t xml:space="preserve"> (i.e. Britain)</w:t>
      </w:r>
      <w:r w:rsidR="00380578" w:rsidRPr="00A56475">
        <w:t xml:space="preserve">. </w:t>
      </w:r>
      <w:r w:rsidR="003B24E5" w:rsidRPr="00A56475">
        <w:t>The finding that d</w:t>
      </w:r>
      <w:r w:rsidR="00003786" w:rsidRPr="00A56475">
        <w:t>istinctions are made between “us” and “them” in the press</w:t>
      </w:r>
      <w:r w:rsidR="003B24E5" w:rsidRPr="00A56475">
        <w:t xml:space="preserve"> is reinforced by </w:t>
      </w:r>
      <w:r w:rsidR="00380578" w:rsidRPr="00A56475">
        <w:t>f</w:t>
      </w:r>
      <w:r w:rsidR="00003786" w:rsidRPr="00A56475">
        <w:t>requent references to BRITAIN (62) in Muslim-related headlines</w:t>
      </w:r>
      <w:r w:rsidR="00E064E5" w:rsidRPr="00A56475">
        <w:t>, as opposed to in Irish-related headlines, where the term only appears nine times</w:t>
      </w:r>
      <w:r w:rsidR="00003786" w:rsidRPr="00A56475">
        <w:t xml:space="preserve">. </w:t>
      </w:r>
      <w:r w:rsidR="00244B70" w:rsidRPr="00A56475">
        <w:t>The lower frequency of appearance of OUR</w:t>
      </w:r>
      <w:r w:rsidR="00003786" w:rsidRPr="00A56475">
        <w:t>,</w:t>
      </w:r>
      <w:r w:rsidR="00244B70" w:rsidRPr="00A56475">
        <w:t xml:space="preserve"> US </w:t>
      </w:r>
      <w:r w:rsidR="00003786" w:rsidRPr="00A56475">
        <w:t>and BRITAIN</w:t>
      </w:r>
      <w:r w:rsidR="00D44DA8" w:rsidRPr="00A56475">
        <w:t xml:space="preserve"> </w:t>
      </w:r>
      <w:r w:rsidR="00244B70" w:rsidRPr="00A56475">
        <w:t xml:space="preserve">in Irish-related headlines does not </w:t>
      </w:r>
      <w:r w:rsidR="00D44DA8" w:rsidRPr="00A56475">
        <w:t xml:space="preserve">necessarily </w:t>
      </w:r>
      <w:r w:rsidR="00244B70" w:rsidRPr="00A56475">
        <w:t>imply that the Irish are represented as being part of “us” or of “our” community</w:t>
      </w:r>
      <w:r w:rsidR="00C52ABF" w:rsidRPr="00A56475">
        <w:t>, but it indicate</w:t>
      </w:r>
      <w:r w:rsidR="00DD13C7">
        <w:t>s</w:t>
      </w:r>
      <w:r w:rsidR="00244B70" w:rsidRPr="00A56475">
        <w:t xml:space="preserve"> that the Irish experience is portrayed diffe</w:t>
      </w:r>
      <w:r w:rsidR="00F219E3" w:rsidRPr="00A56475">
        <w:t>rently to the Muslim experience.</w:t>
      </w:r>
    </w:p>
    <w:p w:rsidR="00152DBE" w:rsidRPr="00A56475" w:rsidRDefault="006C0A9C" w:rsidP="008F7BE2">
      <w:pPr>
        <w:suppressAutoHyphens w:val="0"/>
        <w:spacing w:line="480" w:lineRule="auto"/>
        <w:ind w:firstLine="720"/>
        <w:jc w:val="both"/>
      </w:pPr>
      <w:r w:rsidRPr="00A56475">
        <w:t>An</w:t>
      </w:r>
      <w:r w:rsidR="009739B7" w:rsidRPr="00A56475">
        <w:t>other</w:t>
      </w:r>
      <w:r w:rsidRPr="00A56475">
        <w:t xml:space="preserve"> example of this is</w:t>
      </w:r>
      <w:r w:rsidR="002E1006" w:rsidRPr="00A56475">
        <w:t xml:space="preserve"> discrepancies</w:t>
      </w:r>
      <w:r w:rsidR="00244B70" w:rsidRPr="00A56475">
        <w:t xml:space="preserve"> </w:t>
      </w:r>
      <w:r w:rsidR="006C3B3C" w:rsidRPr="00A56475">
        <w:t xml:space="preserve">we identified </w:t>
      </w:r>
      <w:r w:rsidR="00244B70" w:rsidRPr="00A56475">
        <w:t>in usage of ter</w:t>
      </w:r>
      <w:r w:rsidR="002615FF" w:rsidRPr="00A56475">
        <w:t xml:space="preserve">ms with religious connotations. </w:t>
      </w:r>
      <w:r w:rsidR="00244B70" w:rsidRPr="00A56475">
        <w:t xml:space="preserve">Muslim-related headlines </w:t>
      </w:r>
      <w:r w:rsidR="002C482E" w:rsidRPr="00A56475">
        <w:t xml:space="preserve">unsurprisingly </w:t>
      </w:r>
      <w:r w:rsidR="00244B70" w:rsidRPr="00A56475">
        <w:t>emphasize religion</w:t>
      </w:r>
      <w:r w:rsidR="001C421E" w:rsidRPr="00A56475">
        <w:t xml:space="preserve">, with </w:t>
      </w:r>
      <w:r w:rsidR="00A022D3" w:rsidRPr="00A56475">
        <w:t>MUSLIM</w:t>
      </w:r>
      <w:r w:rsidR="00E81DF4" w:rsidRPr="00A56475">
        <w:t>/S</w:t>
      </w:r>
      <w:r w:rsidR="001C421E" w:rsidRPr="00A56475">
        <w:t xml:space="preserve"> (</w:t>
      </w:r>
      <w:r w:rsidR="00E81DF4" w:rsidRPr="00A56475">
        <w:t>178</w:t>
      </w:r>
      <w:r w:rsidR="00244B70" w:rsidRPr="00A56475">
        <w:t xml:space="preserve">), ISLAM (23), ISLAMIC (15), and VEIL (94) </w:t>
      </w:r>
      <w:r w:rsidR="002615FF" w:rsidRPr="00A56475">
        <w:t>appearing</w:t>
      </w:r>
      <w:r w:rsidR="00244B70" w:rsidRPr="00A56475">
        <w:t xml:space="preserve"> regularly. This contrasts with the near</w:t>
      </w:r>
      <w:r w:rsidR="00C703A9" w:rsidRPr="00A56475">
        <w:t xml:space="preserve"> absence of religious terms</w:t>
      </w:r>
      <w:r w:rsidR="00244B70" w:rsidRPr="00A56475">
        <w:t xml:space="preserve"> in Irish-related headlines, </w:t>
      </w:r>
      <w:r w:rsidR="00F85A23" w:rsidRPr="00A56475">
        <w:t xml:space="preserve">a surprising finding considering </w:t>
      </w:r>
      <w:r w:rsidR="00974FAE" w:rsidRPr="00A56475">
        <w:t xml:space="preserve">the </w:t>
      </w:r>
      <w:r w:rsidR="009E5E90" w:rsidRPr="00A56475">
        <w:t xml:space="preserve">strong </w:t>
      </w:r>
      <w:r w:rsidR="00974FAE" w:rsidRPr="00A56475">
        <w:t>relig</w:t>
      </w:r>
      <w:r w:rsidR="00280424" w:rsidRPr="00A56475">
        <w:t>ious undercurrent</w:t>
      </w:r>
      <w:r w:rsidR="00A2185F" w:rsidRPr="00A56475">
        <w:t>s</w:t>
      </w:r>
      <w:r w:rsidR="00280424" w:rsidRPr="00A56475">
        <w:t xml:space="preserve"> </w:t>
      </w:r>
      <w:r w:rsidR="00250FD3" w:rsidRPr="00A56475">
        <w:t xml:space="preserve">of issues associated with </w:t>
      </w:r>
      <w:r w:rsidR="00087FCB" w:rsidRPr="00A56475">
        <w:t>Irishness</w:t>
      </w:r>
      <w:r w:rsidR="00741D83" w:rsidRPr="00A56475">
        <w:t xml:space="preserve"> </w:t>
      </w:r>
      <w:r w:rsidR="002F4EB0" w:rsidRPr="00A56475">
        <w:t>(</w:t>
      </w:r>
      <w:r w:rsidR="008F1C3B" w:rsidRPr="00A56475">
        <w:t xml:space="preserve">Fulton, 1991; </w:t>
      </w:r>
      <w:r w:rsidR="00741D83" w:rsidRPr="00A56475">
        <w:t>Mitchell, 2005</w:t>
      </w:r>
      <w:r w:rsidR="002F4EB0" w:rsidRPr="00A56475">
        <w:t>).</w:t>
      </w:r>
      <w:r w:rsidR="00BD5996" w:rsidRPr="00A56475">
        <w:t xml:space="preserve"> </w:t>
      </w:r>
      <w:r w:rsidR="00741D83" w:rsidRPr="00A56475">
        <w:t>T</w:t>
      </w:r>
      <w:r w:rsidR="005C3D66" w:rsidRPr="00A56475">
        <w:t>he only t</w:t>
      </w:r>
      <w:r w:rsidR="00D80A77" w:rsidRPr="00A56475">
        <w:t xml:space="preserve">erms </w:t>
      </w:r>
      <w:r w:rsidR="00244B70" w:rsidRPr="00A56475">
        <w:t xml:space="preserve">with openly religious connotations used more than once in Irish-related headlines are CATHOLIC (3), FAITH (3), ORANGEMEN (3) and CHURCH (2). </w:t>
      </w:r>
      <w:r w:rsidR="00EE1005" w:rsidRPr="00A56475">
        <w:t xml:space="preserve">From this, we can </w:t>
      </w:r>
      <w:r w:rsidR="001836CA" w:rsidRPr="00A56475">
        <w:t>infer</w:t>
      </w:r>
      <w:r w:rsidR="00EE1005" w:rsidRPr="00A56475">
        <w:t xml:space="preserve"> that r</w:t>
      </w:r>
      <w:r w:rsidR="00244B70" w:rsidRPr="00A56475">
        <w:t>eligious difference</w:t>
      </w:r>
      <w:r w:rsidR="00EE1005" w:rsidRPr="00A56475">
        <w:t xml:space="preserve"> </w:t>
      </w:r>
      <w:r w:rsidR="00244B70" w:rsidRPr="00A56475">
        <w:t xml:space="preserve">is a key element of the contrast between </w:t>
      </w:r>
      <w:r w:rsidR="003D45FE" w:rsidRPr="00A56475">
        <w:t>press</w:t>
      </w:r>
      <w:r w:rsidR="00244B70" w:rsidRPr="00A56475">
        <w:t xml:space="preserve"> representations of Irish and Muslim experiences, with Catholicism/Protestantism made invisible in news discourse</w:t>
      </w:r>
      <w:r w:rsidR="0058207D" w:rsidRPr="00A56475">
        <w:t xml:space="preserve"> in contrast to </w:t>
      </w:r>
      <w:r w:rsidR="00244B70" w:rsidRPr="00A56475">
        <w:t xml:space="preserve">Islam. </w:t>
      </w:r>
      <w:r w:rsidR="00BE738F">
        <w:t>I</w:t>
      </w:r>
      <w:r w:rsidR="00144D32" w:rsidRPr="00A56475">
        <w:t xml:space="preserve">n </w:t>
      </w:r>
      <w:r w:rsidR="00244B70" w:rsidRPr="00A56475">
        <w:t>the Irish co</w:t>
      </w:r>
      <w:r w:rsidR="00152DBE" w:rsidRPr="00A56475">
        <w:t>ntext</w:t>
      </w:r>
      <w:r w:rsidR="00BE738F">
        <w:t>,</w:t>
      </w:r>
      <w:r w:rsidR="00244B70" w:rsidRPr="00A56475">
        <w:t xml:space="preserve"> a </w:t>
      </w:r>
      <w:r w:rsidR="00AA5F01" w:rsidRPr="00A56475">
        <w:t>“suspect”</w:t>
      </w:r>
      <w:r w:rsidR="00244B70" w:rsidRPr="00A56475">
        <w:t xml:space="preserve"> community </w:t>
      </w:r>
      <w:r w:rsidR="00274BF2" w:rsidRPr="00A56475">
        <w:t xml:space="preserve">is </w:t>
      </w:r>
      <w:r w:rsidR="00244B70" w:rsidRPr="00A56475">
        <w:t xml:space="preserve">framed in terms of ethno-national characteristics, thereby </w:t>
      </w:r>
      <w:r w:rsidR="008D617C" w:rsidRPr="00A56475">
        <w:t>eliding</w:t>
      </w:r>
      <w:r w:rsidR="00244B70" w:rsidRPr="00A56475">
        <w:t xml:space="preserve"> religious identities and allegiances</w:t>
      </w:r>
      <w:r w:rsidR="00A158B5" w:rsidRPr="00A56475">
        <w:t xml:space="preserve"> </w:t>
      </w:r>
      <w:r w:rsidR="008D617C" w:rsidRPr="00A56475">
        <w:t xml:space="preserve">instrumental in </w:t>
      </w:r>
      <w:r w:rsidR="003E0E12" w:rsidRPr="00A56475">
        <w:t xml:space="preserve">many </w:t>
      </w:r>
      <w:r w:rsidR="003E0E12" w:rsidRPr="00A56475">
        <w:lastRenderedPageBreak/>
        <w:t xml:space="preserve">aspects of the </w:t>
      </w:r>
      <w:r w:rsidR="008D617C" w:rsidRPr="00A56475">
        <w:t>conflict in Northern Ireland</w:t>
      </w:r>
      <w:r w:rsidR="00244B70" w:rsidRPr="00A56475">
        <w:t xml:space="preserve">. In the Muslim context, </w:t>
      </w:r>
      <w:r w:rsidR="004B1156" w:rsidRPr="00A56475">
        <w:t xml:space="preserve">in contrast, </w:t>
      </w:r>
      <w:r w:rsidR="00244B70" w:rsidRPr="00A56475">
        <w:t xml:space="preserve">a </w:t>
      </w:r>
      <w:r w:rsidR="00AA5F01" w:rsidRPr="00A56475">
        <w:t>“suspect”</w:t>
      </w:r>
      <w:r w:rsidR="00244B70" w:rsidRPr="00A56475">
        <w:t xml:space="preserve"> community </w:t>
      </w:r>
      <w:r w:rsidR="00274BF2" w:rsidRPr="00A56475">
        <w:t xml:space="preserve">is </w:t>
      </w:r>
      <w:r w:rsidR="00244B70" w:rsidRPr="00A56475">
        <w:t xml:space="preserve">framed </w:t>
      </w:r>
      <w:r w:rsidR="0073556B" w:rsidRPr="00A56475">
        <w:t xml:space="preserve">more </w:t>
      </w:r>
      <w:r w:rsidR="00244B70" w:rsidRPr="00A56475">
        <w:t>in terms of a homogeni</w:t>
      </w:r>
      <w:r w:rsidR="00F94316" w:rsidRPr="00A56475">
        <w:t>zed religious identity</w:t>
      </w:r>
      <w:r w:rsidR="004B2A31" w:rsidRPr="00A56475">
        <w:t>, thereby</w:t>
      </w:r>
      <w:r w:rsidR="00274BF2" w:rsidRPr="00A56475">
        <w:t xml:space="preserve"> </w:t>
      </w:r>
      <w:r w:rsidR="00244B70" w:rsidRPr="00A56475">
        <w:t>masking a range of ethnic and denominational</w:t>
      </w:r>
      <w:r w:rsidR="003A0DA1" w:rsidRPr="00A56475">
        <w:t xml:space="preserve"> communities</w:t>
      </w:r>
      <w:r w:rsidR="00F23342" w:rsidRPr="00A56475">
        <w:t>.</w:t>
      </w:r>
    </w:p>
    <w:p w:rsidR="001B61BE" w:rsidRPr="00A56475" w:rsidRDefault="002117AE" w:rsidP="008F7BE2">
      <w:pPr>
        <w:suppressAutoHyphens w:val="0"/>
        <w:spacing w:line="480" w:lineRule="auto"/>
        <w:ind w:firstLine="720"/>
        <w:jc w:val="both"/>
      </w:pPr>
      <w:r w:rsidRPr="00A56475">
        <w:t>T</w:t>
      </w:r>
      <w:r w:rsidR="00244B70" w:rsidRPr="00A56475">
        <w:t xml:space="preserve">here are </w:t>
      </w:r>
      <w:r w:rsidR="00382532" w:rsidRPr="00A56475">
        <w:t>notable</w:t>
      </w:r>
      <w:r w:rsidR="00244B70" w:rsidRPr="00A56475">
        <w:t xml:space="preserve"> differences between the newspapers in </w:t>
      </w:r>
      <w:r w:rsidR="00EF2A11" w:rsidRPr="00A56475">
        <w:t>terms</w:t>
      </w:r>
      <w:r w:rsidR="00BE37AC" w:rsidRPr="00A56475">
        <w:t xml:space="preserve"> they use </w:t>
      </w:r>
      <w:r w:rsidR="007C5EDE" w:rsidRPr="00A56475">
        <w:t xml:space="preserve">to report on the </w:t>
      </w:r>
      <w:r w:rsidR="00244B70" w:rsidRPr="00A56475">
        <w:t>events</w:t>
      </w:r>
      <w:r w:rsidR="00450050" w:rsidRPr="00A56475">
        <w:t xml:space="preserve"> </w:t>
      </w:r>
      <w:r w:rsidR="007C5EDE" w:rsidRPr="00A56475">
        <w:t>under analysis</w:t>
      </w:r>
      <w:r w:rsidR="00244B70" w:rsidRPr="00A56475">
        <w:t xml:space="preserve">. </w:t>
      </w:r>
      <w:r w:rsidR="003F2B23" w:rsidRPr="00A56475">
        <w:t xml:space="preserve">These </w:t>
      </w:r>
      <w:r w:rsidR="00244B70" w:rsidRPr="00A56475">
        <w:t xml:space="preserve">differences </w:t>
      </w:r>
      <w:r w:rsidR="00F51B1C" w:rsidRPr="00A56475">
        <w:t>probably</w:t>
      </w:r>
      <w:r w:rsidR="003F2B23" w:rsidRPr="00A56475">
        <w:t xml:space="preserve"> </w:t>
      </w:r>
      <w:r w:rsidR="00244B70" w:rsidRPr="00A56475">
        <w:t>originate in the identities, political orientations, readerships and values</w:t>
      </w:r>
      <w:r w:rsidR="0093059D" w:rsidRPr="00A56475">
        <w:t xml:space="preserve"> of </w:t>
      </w:r>
      <w:r w:rsidR="00F636DA" w:rsidRPr="00A56475">
        <w:t xml:space="preserve">the </w:t>
      </w:r>
      <w:r w:rsidR="0093059D" w:rsidRPr="00A56475">
        <w:t>newspapers</w:t>
      </w:r>
      <w:r w:rsidR="007E5EC9" w:rsidRPr="00A56475">
        <w:t xml:space="preserve">, and </w:t>
      </w:r>
      <w:r w:rsidR="00EE1B18" w:rsidRPr="00A56475">
        <w:t xml:space="preserve">they </w:t>
      </w:r>
      <w:r w:rsidR="00244B70" w:rsidRPr="00A56475">
        <w:t>suggest that the</w:t>
      </w:r>
      <w:r w:rsidR="009739B7" w:rsidRPr="00A56475">
        <w:t xml:space="preserve"> </w:t>
      </w:r>
      <w:r w:rsidR="00244B70" w:rsidRPr="00A56475">
        <w:t xml:space="preserve">construction of </w:t>
      </w:r>
      <w:r w:rsidR="009A0874" w:rsidRPr="00A56475">
        <w:t xml:space="preserve">Irish </w:t>
      </w:r>
      <w:r w:rsidR="009739B7" w:rsidRPr="00A56475">
        <w:t xml:space="preserve">and </w:t>
      </w:r>
      <w:r w:rsidR="009A0874" w:rsidRPr="00A56475">
        <w:t>Muslim</w:t>
      </w:r>
      <w:r w:rsidR="003A0DA1" w:rsidRPr="00A56475">
        <w:t xml:space="preserve"> communities</w:t>
      </w:r>
      <w:r w:rsidR="009739B7" w:rsidRPr="00A56475">
        <w:t xml:space="preserve"> in the </w:t>
      </w:r>
      <w:r w:rsidR="007B0B87" w:rsidRPr="00A56475">
        <w:t xml:space="preserve">national and diaspora </w:t>
      </w:r>
      <w:r w:rsidR="009739B7" w:rsidRPr="00A56475">
        <w:t xml:space="preserve">press is </w:t>
      </w:r>
      <w:r w:rsidR="00A358CE" w:rsidRPr="00A56475">
        <w:t>not</w:t>
      </w:r>
      <w:r w:rsidR="00032570" w:rsidRPr="00A56475">
        <w:t xml:space="preserve"> </w:t>
      </w:r>
      <w:r w:rsidR="009739B7" w:rsidRPr="00A56475">
        <w:t>uniform.</w:t>
      </w:r>
      <w:r w:rsidR="00152DBE" w:rsidRPr="00A56475">
        <w:t xml:space="preserve"> </w:t>
      </w:r>
      <w:r w:rsidR="000F1E8A" w:rsidRPr="00A56475">
        <w:t>For instance</w:t>
      </w:r>
      <w:r w:rsidR="002B16A4" w:rsidRPr="00A56475">
        <w:t xml:space="preserve">, </w:t>
      </w:r>
      <w:r w:rsidR="00244B70" w:rsidRPr="00A56475">
        <w:t>ULSTER does not appear at all in the</w:t>
      </w:r>
      <w:r w:rsidR="00D45A0E" w:rsidRPr="00A56475">
        <w:t xml:space="preserve"> headlines of the</w:t>
      </w:r>
      <w:r w:rsidR="00244B70" w:rsidRPr="00A56475">
        <w:t xml:space="preserve"> </w:t>
      </w:r>
      <w:r w:rsidR="007E1674" w:rsidRPr="00A56475">
        <w:rPr>
          <w:u w:val="single"/>
        </w:rPr>
        <w:t>Irish Post</w:t>
      </w:r>
      <w:r w:rsidR="00485421" w:rsidRPr="00A56475">
        <w:t>, w</w:t>
      </w:r>
      <w:r w:rsidR="0081745F" w:rsidRPr="00A56475">
        <w:t xml:space="preserve">ith </w:t>
      </w:r>
      <w:r w:rsidR="00244B70" w:rsidRPr="00A56475">
        <w:t xml:space="preserve">IRA </w:t>
      </w:r>
      <w:r w:rsidR="00485421" w:rsidRPr="00A56475">
        <w:t xml:space="preserve">only </w:t>
      </w:r>
      <w:r w:rsidR="0081745F" w:rsidRPr="00A56475">
        <w:t xml:space="preserve">appearing </w:t>
      </w:r>
      <w:r w:rsidR="00244B70" w:rsidRPr="00A56475">
        <w:t>once</w:t>
      </w:r>
      <w:r w:rsidR="00EF2A11" w:rsidRPr="00A56475">
        <w:t>, with both terms appearing regularly in the national press</w:t>
      </w:r>
      <w:r w:rsidR="00244B70" w:rsidRPr="00A56475">
        <w:t xml:space="preserve">. This is indicative of great differences </w:t>
      </w:r>
      <w:r w:rsidR="0059028D" w:rsidRPr="00A56475">
        <w:t xml:space="preserve">between the diaspora and national press </w:t>
      </w:r>
      <w:r w:rsidR="00244B70" w:rsidRPr="00A56475">
        <w:t xml:space="preserve">in </w:t>
      </w:r>
      <w:r w:rsidR="009E6922" w:rsidRPr="00A56475">
        <w:t xml:space="preserve">how they </w:t>
      </w:r>
      <w:r w:rsidR="00244B70" w:rsidRPr="00A56475">
        <w:t xml:space="preserve">cover Irish-related </w:t>
      </w:r>
      <w:r w:rsidR="00AE26EB" w:rsidRPr="00A56475">
        <w:t>news</w:t>
      </w:r>
      <w:r w:rsidR="00244B70" w:rsidRPr="00A56475">
        <w:t xml:space="preserve">. </w:t>
      </w:r>
      <w:r w:rsidR="0036137F" w:rsidRPr="00A56475">
        <w:t>A</w:t>
      </w:r>
      <w:r w:rsidR="00244B70" w:rsidRPr="00A56475">
        <w:t xml:space="preserve">s </w:t>
      </w:r>
      <w:r w:rsidR="00A22A8A" w:rsidRPr="00A56475">
        <w:t>our</w:t>
      </w:r>
      <w:r w:rsidR="00244B70" w:rsidRPr="00A56475">
        <w:t xml:space="preserve"> analysis confirms, Ulster is often used as a synonym for Northern Ireland</w:t>
      </w:r>
      <w:r w:rsidR="005764C4" w:rsidRPr="00A56475">
        <w:t xml:space="preserve"> </w:t>
      </w:r>
      <w:r w:rsidR="00182638" w:rsidRPr="00A56475">
        <w:t xml:space="preserve">in </w:t>
      </w:r>
      <w:r w:rsidR="00255A61" w:rsidRPr="00A56475">
        <w:t xml:space="preserve">public </w:t>
      </w:r>
      <w:r w:rsidR="00182638" w:rsidRPr="00A56475">
        <w:t xml:space="preserve">discourse </w:t>
      </w:r>
      <w:r w:rsidR="00244B70" w:rsidRPr="00A56475">
        <w:t>(three of the nine counties within Ulster are part of the Republic of Ir</w:t>
      </w:r>
      <w:r w:rsidR="005764C4" w:rsidRPr="00A56475">
        <w:t>eland</w:t>
      </w:r>
      <w:r w:rsidR="00244B70" w:rsidRPr="00A56475">
        <w:t xml:space="preserve">), a </w:t>
      </w:r>
      <w:r w:rsidR="00182638" w:rsidRPr="00A56475">
        <w:t>terminological choice</w:t>
      </w:r>
      <w:r w:rsidR="0018793E" w:rsidRPr="00A56475">
        <w:t xml:space="preserve"> </w:t>
      </w:r>
      <w:r w:rsidR="00244B70" w:rsidRPr="00A56475">
        <w:t xml:space="preserve">the </w:t>
      </w:r>
      <w:r w:rsidR="007E1674" w:rsidRPr="00A56475">
        <w:rPr>
          <w:u w:val="single"/>
        </w:rPr>
        <w:t>Irish Post</w:t>
      </w:r>
      <w:r w:rsidR="00244B70" w:rsidRPr="00A56475">
        <w:t xml:space="preserve"> is unlikely to make, considering it caters to an Irish audience that would be </w:t>
      </w:r>
      <w:r w:rsidR="00244B70" w:rsidRPr="00A56475">
        <w:rPr>
          <w:u w:val="single"/>
        </w:rPr>
        <w:t>au fait</w:t>
      </w:r>
      <w:r w:rsidR="00244B70" w:rsidRPr="00A56475">
        <w:t xml:space="preserve"> with the </w:t>
      </w:r>
      <w:r w:rsidR="003347C8" w:rsidRPr="00A56475">
        <w:t xml:space="preserve">political </w:t>
      </w:r>
      <w:r w:rsidR="00A600E6" w:rsidRPr="00A56475">
        <w:t xml:space="preserve">implications of using one </w:t>
      </w:r>
      <w:r w:rsidR="00244B70" w:rsidRPr="00A56475">
        <w:t>term</w:t>
      </w:r>
      <w:r w:rsidR="00A600E6" w:rsidRPr="00A56475">
        <w:t xml:space="preserve"> over another</w:t>
      </w:r>
      <w:r w:rsidR="00244B70" w:rsidRPr="00A56475">
        <w:t xml:space="preserve">. </w:t>
      </w:r>
      <w:r w:rsidR="00D85EA2">
        <w:t>R</w:t>
      </w:r>
      <w:r w:rsidR="00244B70" w:rsidRPr="00A56475">
        <w:t>eferring to Ulster</w:t>
      </w:r>
      <w:r w:rsidR="005764C4" w:rsidRPr="00A56475">
        <w:t>,</w:t>
      </w:r>
      <w:r w:rsidR="00244B70" w:rsidRPr="00A56475">
        <w:t xml:space="preserve"> Northern Ireland, the north of Ireland, or the Six Counties </w:t>
      </w:r>
      <w:r w:rsidR="005764C4" w:rsidRPr="00A56475">
        <w:t xml:space="preserve">are </w:t>
      </w:r>
      <w:r w:rsidR="00244B70" w:rsidRPr="00A56475">
        <w:t>political choice</w:t>
      </w:r>
      <w:r w:rsidR="005764C4" w:rsidRPr="00A56475">
        <w:t>s</w:t>
      </w:r>
      <w:r w:rsidR="00244B70" w:rsidRPr="00A56475">
        <w:t xml:space="preserve"> aligning the utterer with a particular agenda</w:t>
      </w:r>
      <w:r w:rsidR="00C93B7B">
        <w:t>:</w:t>
      </w:r>
      <w:r w:rsidR="00244B70" w:rsidRPr="00A56475">
        <w:t xml:space="preserve"> Loyalism, Unionism, Republicanism</w:t>
      </w:r>
      <w:r w:rsidR="0070432E" w:rsidRPr="00A56475">
        <w:t xml:space="preserve"> or Nationalism. </w:t>
      </w:r>
      <w:r w:rsidR="00244B70" w:rsidRPr="00A56475">
        <w:t xml:space="preserve">As Beresford (1994: 7) </w:t>
      </w:r>
      <w:r w:rsidR="00286916" w:rsidRPr="00A56475">
        <w:t>argues</w:t>
      </w:r>
      <w:r w:rsidR="00244B70" w:rsidRPr="00A56475">
        <w:t xml:space="preserve">, </w:t>
      </w:r>
      <w:r w:rsidR="0003264F" w:rsidRPr="00A56475">
        <w:t>‘</w:t>
      </w:r>
      <w:r w:rsidR="00244B70" w:rsidRPr="00A56475">
        <w:t>There is no neutrality in Northern Ireland, at least in the terminological sense: the use of the term “Northern Ireland” places a writer on one side of the conflict, because to an Irish Nati</w:t>
      </w:r>
      <w:r w:rsidR="00A600E6" w:rsidRPr="00A56475">
        <w:t>onalist there is no such entity</w:t>
      </w:r>
      <w:r w:rsidR="0003264F" w:rsidRPr="00A56475">
        <w:t>’</w:t>
      </w:r>
      <w:r w:rsidR="00244B70" w:rsidRPr="00A56475">
        <w:t xml:space="preserve"> </w:t>
      </w:r>
      <w:r w:rsidR="00A600E6" w:rsidRPr="00A56475">
        <w:t>(see</w:t>
      </w:r>
      <w:r w:rsidR="00CD0280">
        <w:t xml:space="preserve"> also</w:t>
      </w:r>
      <w:r w:rsidR="00A600E6" w:rsidRPr="00A56475">
        <w:t xml:space="preserve"> BBC, 1993). </w:t>
      </w:r>
      <w:r w:rsidR="00244B70" w:rsidRPr="00A56475">
        <w:t xml:space="preserve">The almost complete absence of the IRA in </w:t>
      </w:r>
      <w:r w:rsidR="007E1674" w:rsidRPr="00A56475">
        <w:rPr>
          <w:u w:val="single"/>
        </w:rPr>
        <w:t>Irish Post</w:t>
      </w:r>
      <w:r w:rsidR="00244B70" w:rsidRPr="00A56475">
        <w:t xml:space="preserve"> </w:t>
      </w:r>
      <w:r w:rsidR="00F40D92" w:rsidRPr="00A56475">
        <w:t xml:space="preserve">headlines </w:t>
      </w:r>
      <w:r w:rsidR="00244B70" w:rsidRPr="00A56475">
        <w:t xml:space="preserve">is an unexpected finding. The reason for this absence may be a conscious effort on the part of the </w:t>
      </w:r>
      <w:r w:rsidR="007E1674" w:rsidRPr="00A56475">
        <w:rPr>
          <w:u w:val="single"/>
        </w:rPr>
        <w:t>Irish Post</w:t>
      </w:r>
      <w:r w:rsidR="00244B70" w:rsidRPr="00A56475">
        <w:t xml:space="preserve"> to portray Irish</w:t>
      </w:r>
      <w:r w:rsidR="003A0DA1" w:rsidRPr="00A56475">
        <w:t xml:space="preserve"> </w:t>
      </w:r>
      <w:r w:rsidR="003A0DA1" w:rsidRPr="00A56475">
        <w:lastRenderedPageBreak/>
        <w:t>communities</w:t>
      </w:r>
      <w:r w:rsidR="00244B70" w:rsidRPr="00A56475">
        <w:t xml:space="preserve"> in a positive lig</w:t>
      </w:r>
      <w:r w:rsidR="001B61BE" w:rsidRPr="00A56475">
        <w:t>ht, or not to give the IRA the “</w:t>
      </w:r>
      <w:r w:rsidR="00244B70" w:rsidRPr="00A56475">
        <w:t>oxygen of publicity</w:t>
      </w:r>
      <w:r w:rsidR="001B61BE" w:rsidRPr="00A56475">
        <w:t>”</w:t>
      </w:r>
      <w:r w:rsidR="00244B70" w:rsidRPr="00A56475">
        <w:t>, or perhaps clearly to separate the Irish from the IRA.</w:t>
      </w:r>
    </w:p>
    <w:p w:rsidR="007B091B" w:rsidRPr="00A56475" w:rsidRDefault="00244B70" w:rsidP="008F7BE2">
      <w:pPr>
        <w:suppressAutoHyphens w:val="0"/>
        <w:spacing w:line="480" w:lineRule="auto"/>
        <w:ind w:firstLine="720"/>
        <w:jc w:val="both"/>
      </w:pPr>
      <w:r w:rsidRPr="00A56475">
        <w:t xml:space="preserve">There is more commonality in the words used in Muslim-related headlines than in Irish-related </w:t>
      </w:r>
      <w:r w:rsidR="00585E6D" w:rsidRPr="00A56475">
        <w:t>ones</w:t>
      </w:r>
      <w:r w:rsidR="00F51B1C" w:rsidRPr="00A56475">
        <w:t>, which suggests a great</w:t>
      </w:r>
      <w:r w:rsidR="008C02EE" w:rsidRPr="00A56475">
        <w:t>er</w:t>
      </w:r>
      <w:r w:rsidR="00F51B1C" w:rsidRPr="00A56475">
        <w:t xml:space="preserve"> </w:t>
      </w:r>
      <w:r w:rsidR="00C34CB7" w:rsidRPr="00A56475">
        <w:t xml:space="preserve">degree of </w:t>
      </w:r>
      <w:r w:rsidR="00F51B1C" w:rsidRPr="00A56475">
        <w:t xml:space="preserve">homogenization of Muslim </w:t>
      </w:r>
      <w:r w:rsidR="00C34CB7" w:rsidRPr="00A56475">
        <w:t xml:space="preserve">than Irish </w:t>
      </w:r>
      <w:r w:rsidR="00F51B1C" w:rsidRPr="00A56475">
        <w:t>communities in the press</w:t>
      </w:r>
      <w:r w:rsidRPr="00A56475">
        <w:t xml:space="preserve">. </w:t>
      </w:r>
      <w:r w:rsidR="00A022D3" w:rsidRPr="00A56475">
        <w:t>MUSLIM</w:t>
      </w:r>
      <w:r w:rsidR="00585E6D" w:rsidRPr="00A56475">
        <w:t>/S</w:t>
      </w:r>
      <w:r w:rsidRPr="00A56475">
        <w:t xml:space="preserve"> </w:t>
      </w:r>
      <w:r w:rsidR="00585E6D" w:rsidRPr="00A56475">
        <w:t>is</w:t>
      </w:r>
      <w:r w:rsidRPr="00A56475">
        <w:t xml:space="preserve"> used </w:t>
      </w:r>
      <w:r w:rsidR="00585E6D" w:rsidRPr="00A56475">
        <w:t xml:space="preserve">extensively </w:t>
      </w:r>
      <w:r w:rsidRPr="00A56475">
        <w:t>in the headlines</w:t>
      </w:r>
      <w:r w:rsidR="00247E9A" w:rsidRPr="00A56475">
        <w:t xml:space="preserve"> of all the newspapers under analysis,</w:t>
      </w:r>
      <w:r w:rsidR="0098499D" w:rsidRPr="00A56475">
        <w:t xml:space="preserve"> and o</w:t>
      </w:r>
      <w:r w:rsidRPr="00A56475">
        <w:t xml:space="preserve">ne effect of </w:t>
      </w:r>
      <w:r w:rsidR="00585E6D" w:rsidRPr="00A56475">
        <w:t xml:space="preserve">this </w:t>
      </w:r>
      <w:r w:rsidRPr="00A56475">
        <w:t>may be that issues or problems covered in the news come to be seen as</w:t>
      </w:r>
      <w:r w:rsidR="001B2928" w:rsidRPr="00A56475">
        <w:t xml:space="preserve"> being</w:t>
      </w:r>
      <w:r w:rsidRPr="00A56475">
        <w:t xml:space="preserve"> inherent to Muslim</w:t>
      </w:r>
      <w:r w:rsidR="003A0DA1" w:rsidRPr="00A56475">
        <w:t xml:space="preserve"> communities</w:t>
      </w:r>
      <w:r w:rsidRPr="00A56475">
        <w:t>. This contrasts with the l</w:t>
      </w:r>
      <w:r w:rsidR="007577D0" w:rsidRPr="00A56475">
        <w:t xml:space="preserve">ower number of times IRISH </w:t>
      </w:r>
      <w:r w:rsidRPr="00A56475">
        <w:t>is used</w:t>
      </w:r>
      <w:r w:rsidR="00432B2C" w:rsidRPr="00A56475">
        <w:t xml:space="preserve"> in the headlines</w:t>
      </w:r>
      <w:r w:rsidRPr="00A56475">
        <w:t>. In this respect, Irish</w:t>
      </w:r>
      <w:r w:rsidR="003A0DA1" w:rsidRPr="00A56475">
        <w:t xml:space="preserve"> communities</w:t>
      </w:r>
      <w:r w:rsidRPr="00A56475">
        <w:t xml:space="preserve"> (and perhaps mainly the IRA) may be said to be constructed as a problem for the state, w</w:t>
      </w:r>
      <w:r w:rsidR="00774130" w:rsidRPr="00A56475">
        <w:t xml:space="preserve">ith </w:t>
      </w:r>
      <w:r w:rsidRPr="00A56475">
        <w:t>Muslim</w:t>
      </w:r>
      <w:r w:rsidR="003A0DA1" w:rsidRPr="00A56475">
        <w:t xml:space="preserve"> communities</w:t>
      </w:r>
      <w:r w:rsidRPr="00A56475">
        <w:t xml:space="preserve"> constructed as a problem in and of themselves</w:t>
      </w:r>
      <w:r w:rsidR="0024172C" w:rsidRPr="00A56475">
        <w:t>.</w:t>
      </w:r>
      <w:r w:rsidR="008F516C" w:rsidRPr="00A56475">
        <w:t xml:space="preserve"> Indeed, t</w:t>
      </w:r>
      <w:r w:rsidRPr="00A56475">
        <w:t xml:space="preserve">he regular appearance </w:t>
      </w:r>
      <w:r w:rsidR="009547F2" w:rsidRPr="00A56475">
        <w:t>of RUSHDIE, VEIL, RACE and RIOT/S</w:t>
      </w:r>
      <w:r w:rsidRPr="00A56475">
        <w:t xml:space="preserve"> suggests that Muslim</w:t>
      </w:r>
      <w:r w:rsidR="003A0DA1" w:rsidRPr="00A56475">
        <w:t xml:space="preserve"> communities</w:t>
      </w:r>
      <w:r w:rsidRPr="00A56475">
        <w:t xml:space="preserve"> are portrayed as a symbolic threat to </w:t>
      </w:r>
      <w:r w:rsidR="00387702" w:rsidRPr="00A56475">
        <w:t xml:space="preserve">perceived </w:t>
      </w:r>
      <w:r w:rsidRPr="00A56475">
        <w:t>British values.</w:t>
      </w:r>
      <w:r w:rsidR="00EC4F7B" w:rsidRPr="00A56475">
        <w:t xml:space="preserve"> A caveat needs to be introduced here though: the high incidence of RACE in Muslim-related headlines is solely a result of coverage of what were dubbed “race riots” in 2001.</w:t>
      </w:r>
      <w:r w:rsidRPr="00A56475">
        <w:t xml:space="preserve"> </w:t>
      </w:r>
      <w:r w:rsidR="00C2289A" w:rsidRPr="00A56475">
        <w:t>Noneth</w:t>
      </w:r>
      <w:r w:rsidR="00BD2C3E" w:rsidRPr="00A56475">
        <w:t>e</w:t>
      </w:r>
      <w:r w:rsidR="00C2289A" w:rsidRPr="00A56475">
        <w:t>less, i</w:t>
      </w:r>
      <w:r w:rsidRPr="00A56475">
        <w:t>ssues raised by the fatwa, the 2001 riots and Straw</w:t>
      </w:r>
      <w:r w:rsidR="0003264F" w:rsidRPr="00A56475">
        <w:t>’</w:t>
      </w:r>
      <w:r w:rsidRPr="00A56475">
        <w:t xml:space="preserve">s comments on the </w:t>
      </w:r>
      <w:r w:rsidR="00CF5775">
        <w:t xml:space="preserve">full-face </w:t>
      </w:r>
      <w:r w:rsidRPr="00A56475">
        <w:t xml:space="preserve">veil relate to </w:t>
      </w:r>
      <w:r w:rsidR="001C65F0" w:rsidRPr="00A56475">
        <w:t xml:space="preserve">societal debates </w:t>
      </w:r>
      <w:r w:rsidR="009C389A" w:rsidRPr="00A56475">
        <w:t>concerning</w:t>
      </w:r>
      <w:r w:rsidR="001C65F0" w:rsidRPr="00A56475">
        <w:t xml:space="preserve"> </w:t>
      </w:r>
      <w:r w:rsidR="007A1FCD" w:rsidRPr="00A56475">
        <w:t xml:space="preserve">the policy of </w:t>
      </w:r>
      <w:r w:rsidRPr="00A56475">
        <w:t>multiculturalism.</w:t>
      </w:r>
      <w:r w:rsidR="003964AA" w:rsidRPr="00A56475">
        <w:t xml:space="preserve"> </w:t>
      </w:r>
      <w:r w:rsidR="00D97F17" w:rsidRPr="00A56475">
        <w:t>In fact, t</w:t>
      </w:r>
      <w:r w:rsidR="003964AA" w:rsidRPr="00A56475">
        <w:t xml:space="preserve">he failure of multiculturalism is repeatedly identified </w:t>
      </w:r>
      <w:r w:rsidR="00BD2C3E" w:rsidRPr="00A56475">
        <w:t xml:space="preserve">in </w:t>
      </w:r>
      <w:r w:rsidR="007468B8" w:rsidRPr="00A56475">
        <w:t xml:space="preserve">sections of </w:t>
      </w:r>
      <w:r w:rsidR="00BD2C3E" w:rsidRPr="00A56475">
        <w:t xml:space="preserve">the national press </w:t>
      </w:r>
      <w:r w:rsidR="003964AA" w:rsidRPr="00A56475">
        <w:t>as the failure of Muslims to integrate in British society.</w:t>
      </w:r>
    </w:p>
    <w:p w:rsidR="001D654D" w:rsidRPr="00A56475" w:rsidRDefault="00CF5775" w:rsidP="008F7BE2">
      <w:pPr>
        <w:suppressAutoHyphens w:val="0"/>
        <w:spacing w:line="480" w:lineRule="auto"/>
        <w:ind w:firstLine="720"/>
        <w:jc w:val="both"/>
      </w:pPr>
      <w:r>
        <w:t>T</w:t>
      </w:r>
      <w:r w:rsidR="00804EED" w:rsidRPr="00A56475">
        <w:t xml:space="preserve">he </w:t>
      </w:r>
      <w:r w:rsidR="001826F0" w:rsidRPr="00A56475">
        <w:t xml:space="preserve">newspapers under analysis are </w:t>
      </w:r>
      <w:r w:rsidR="00804EED" w:rsidRPr="00A56475">
        <w:t xml:space="preserve">greatly concerned with </w:t>
      </w:r>
      <w:r w:rsidR="001826F0" w:rsidRPr="00A56475">
        <w:t xml:space="preserve">what they perceive to be </w:t>
      </w:r>
      <w:r w:rsidR="00804EED" w:rsidRPr="00A56475">
        <w:t xml:space="preserve">threats to British values and Britishness. </w:t>
      </w:r>
      <w:r w:rsidR="001826F0" w:rsidRPr="00A56475">
        <w:t xml:space="preserve">To </w:t>
      </w:r>
      <w:r w:rsidR="00804EED" w:rsidRPr="00A56475">
        <w:t>explore this concern further, we</w:t>
      </w:r>
      <w:r w:rsidR="001826F0" w:rsidRPr="00A56475">
        <w:t xml:space="preserve"> coded </w:t>
      </w:r>
      <w:r w:rsidR="00577430" w:rsidRPr="00A56475">
        <w:t>the</w:t>
      </w:r>
      <w:r w:rsidR="00244B70" w:rsidRPr="00A56475">
        <w:t xml:space="preserve"> news items </w:t>
      </w:r>
      <w:r w:rsidR="00461969" w:rsidRPr="00A56475">
        <w:t xml:space="preserve">we </w:t>
      </w:r>
      <w:r w:rsidR="00577430" w:rsidRPr="00A56475">
        <w:t xml:space="preserve">collected </w:t>
      </w:r>
      <w:r w:rsidR="00244B70" w:rsidRPr="00A56475">
        <w:t xml:space="preserve">according to four sets of </w:t>
      </w:r>
      <w:r w:rsidR="0032251E" w:rsidRPr="00A56475">
        <w:t xml:space="preserve">mutually exclusive (although overlapping) </w:t>
      </w:r>
      <w:r w:rsidR="00244B70" w:rsidRPr="00A56475">
        <w:t xml:space="preserve">criteria </w:t>
      </w:r>
      <w:r w:rsidR="00964C83" w:rsidRPr="00A56475">
        <w:t>that</w:t>
      </w:r>
      <w:r w:rsidR="00C966E3" w:rsidRPr="00A56475">
        <w:t xml:space="preserve"> </w:t>
      </w:r>
      <w:r w:rsidR="001826F0" w:rsidRPr="00A56475">
        <w:t xml:space="preserve">resonate with values </w:t>
      </w:r>
      <w:r w:rsidR="00796C2E" w:rsidRPr="00A56475">
        <w:t xml:space="preserve">and issues </w:t>
      </w:r>
      <w:r w:rsidR="005031F6" w:rsidRPr="00A56475">
        <w:t>associated with</w:t>
      </w:r>
      <w:r w:rsidR="0032251E" w:rsidRPr="00A56475">
        <w:t xml:space="preserve"> </w:t>
      </w:r>
      <w:r w:rsidR="000E60EB" w:rsidRPr="00A56475">
        <w:t xml:space="preserve">the ideological </w:t>
      </w:r>
      <w:r w:rsidR="000E60EB" w:rsidRPr="00A56475">
        <w:lastRenderedPageBreak/>
        <w:t xml:space="preserve">project of </w:t>
      </w:r>
      <w:r w:rsidR="001826F0" w:rsidRPr="00A56475">
        <w:t>B</w:t>
      </w:r>
      <w:r w:rsidR="003366D2" w:rsidRPr="00A56475">
        <w:t>ritishness</w:t>
      </w:r>
      <w:r w:rsidR="0032251E" w:rsidRPr="00A56475">
        <w:t xml:space="preserve"> (</w:t>
      </w:r>
      <w:r w:rsidR="00D4766B" w:rsidRPr="00A56475">
        <w:t>see Hickman</w:t>
      </w:r>
      <w:r w:rsidR="00C03D3F">
        <w:t xml:space="preserve"> et al,</w:t>
      </w:r>
      <w:r w:rsidR="00D4766B" w:rsidRPr="00A56475">
        <w:t xml:space="preserve"> 2008</w:t>
      </w:r>
      <w:r w:rsidR="00CE3C9D" w:rsidRPr="00A56475">
        <w:t>)</w:t>
      </w:r>
      <w:r w:rsidR="0032251E" w:rsidRPr="00A56475">
        <w:t xml:space="preserve"> and with the research questions of the larger project</w:t>
      </w:r>
      <w:r w:rsidR="00E71BA6" w:rsidRPr="00A56475">
        <w:t xml:space="preserve"> this article forms part of</w:t>
      </w:r>
      <w:r w:rsidR="0032251E" w:rsidRPr="00A56475">
        <w:t>:</w:t>
      </w:r>
    </w:p>
    <w:p w:rsidR="006A31CF" w:rsidRPr="00A56475" w:rsidRDefault="006A31CF" w:rsidP="008F7BE2">
      <w:pPr>
        <w:suppressAutoHyphens w:val="0"/>
        <w:spacing w:line="480" w:lineRule="auto"/>
        <w:ind w:firstLine="720"/>
        <w:jc w:val="both"/>
      </w:pPr>
    </w:p>
    <w:p w:rsidR="001D654D" w:rsidRPr="00A56475" w:rsidRDefault="00670B86" w:rsidP="008F7BE2">
      <w:pPr>
        <w:numPr>
          <w:ilvl w:val="3"/>
          <w:numId w:val="8"/>
        </w:numPr>
        <w:suppressAutoHyphens w:val="0"/>
        <w:spacing w:line="480" w:lineRule="auto"/>
        <w:jc w:val="both"/>
      </w:pPr>
      <w:r w:rsidRPr="00A56475">
        <w:rPr>
          <w:smallCaps/>
        </w:rPr>
        <w:t>c</w:t>
      </w:r>
      <w:r w:rsidR="001D654D" w:rsidRPr="00A56475">
        <w:rPr>
          <w:smallCaps/>
        </w:rPr>
        <w:t>ommunities</w:t>
      </w:r>
      <w:r w:rsidR="001D654D" w:rsidRPr="00A56475">
        <w:t>: Suspect Irish, Non-suspect Irish, Irishophobia, IRA/Sinn Féin, Suspect Muslim, Non-suspect Muslim, Islamophobia, Muslim Terrorist</w:t>
      </w:r>
      <w:r w:rsidR="006A31CF" w:rsidRPr="00A56475">
        <w:t>.</w:t>
      </w:r>
    </w:p>
    <w:p w:rsidR="001D654D" w:rsidRPr="00A56475" w:rsidRDefault="00670B86" w:rsidP="008F7BE2">
      <w:pPr>
        <w:numPr>
          <w:ilvl w:val="3"/>
          <w:numId w:val="8"/>
        </w:numPr>
        <w:suppressAutoHyphens w:val="0"/>
        <w:spacing w:line="480" w:lineRule="auto"/>
        <w:jc w:val="both"/>
      </w:pPr>
      <w:r w:rsidRPr="00A56475">
        <w:rPr>
          <w:smallCaps/>
        </w:rPr>
        <w:t>social c</w:t>
      </w:r>
      <w:r w:rsidR="001D654D" w:rsidRPr="00A56475">
        <w:rPr>
          <w:smallCaps/>
        </w:rPr>
        <w:t>ohesion</w:t>
      </w:r>
      <w:r w:rsidR="001D654D" w:rsidRPr="00A56475">
        <w:t>: Fundamentalism, Multiculturalism, Race Relations</w:t>
      </w:r>
      <w:r w:rsidR="006A31CF" w:rsidRPr="00A56475">
        <w:t>.</w:t>
      </w:r>
    </w:p>
    <w:p w:rsidR="001D654D" w:rsidRPr="00A56475" w:rsidRDefault="00670B86" w:rsidP="008F7BE2">
      <w:pPr>
        <w:numPr>
          <w:ilvl w:val="3"/>
          <w:numId w:val="8"/>
        </w:numPr>
        <w:suppressAutoHyphens w:val="0"/>
        <w:spacing w:line="480" w:lineRule="auto"/>
        <w:jc w:val="both"/>
      </w:pPr>
      <w:r w:rsidRPr="00A56475">
        <w:rPr>
          <w:smallCaps/>
        </w:rPr>
        <w:t>rule of l</w:t>
      </w:r>
      <w:r w:rsidR="001D654D" w:rsidRPr="00A56475">
        <w:rPr>
          <w:smallCaps/>
        </w:rPr>
        <w:t>aw</w:t>
      </w:r>
      <w:r w:rsidR="001D654D" w:rsidRPr="00A56475">
        <w:t>: Civil Liberties, Shoot-to-Kill-to-Protect, Rule of Law, Suspect Police/Judiciary, Wrongful Arrest</w:t>
      </w:r>
      <w:r w:rsidR="006A31CF" w:rsidRPr="00A56475">
        <w:t>.</w:t>
      </w:r>
    </w:p>
    <w:p w:rsidR="0032251E" w:rsidRPr="00A56475" w:rsidRDefault="00670B86" w:rsidP="008F7BE2">
      <w:pPr>
        <w:numPr>
          <w:ilvl w:val="3"/>
          <w:numId w:val="8"/>
        </w:numPr>
        <w:suppressAutoHyphens w:val="0"/>
        <w:spacing w:line="480" w:lineRule="auto"/>
        <w:jc w:val="both"/>
      </w:pPr>
      <w:r w:rsidRPr="00A56475">
        <w:rPr>
          <w:smallCaps/>
        </w:rPr>
        <w:t>b</w:t>
      </w:r>
      <w:r w:rsidR="001D654D" w:rsidRPr="00A56475">
        <w:rPr>
          <w:smallCaps/>
        </w:rPr>
        <w:t>ritishness</w:t>
      </w:r>
      <w:r w:rsidR="001D654D" w:rsidRPr="00A56475">
        <w:t>: Britishness, Freedom of Speech, Religious Tolerance</w:t>
      </w:r>
      <w:r w:rsidR="006A31CF" w:rsidRPr="00A56475">
        <w:t>.</w:t>
      </w:r>
    </w:p>
    <w:p w:rsidR="0032251E" w:rsidRPr="00A56475" w:rsidRDefault="0032251E" w:rsidP="008F7BE2">
      <w:pPr>
        <w:suppressAutoHyphens w:val="0"/>
        <w:spacing w:line="480" w:lineRule="auto"/>
        <w:jc w:val="both"/>
      </w:pPr>
    </w:p>
    <w:p w:rsidR="00603AE5" w:rsidRPr="00A56475" w:rsidRDefault="00E52F78" w:rsidP="008F7BE2">
      <w:pPr>
        <w:suppressAutoHyphens w:val="0"/>
        <w:spacing w:line="480" w:lineRule="auto"/>
        <w:jc w:val="both"/>
      </w:pPr>
      <w:r w:rsidRPr="00A56475">
        <w:t xml:space="preserve">The </w:t>
      </w:r>
      <w:r w:rsidR="00DF7E61" w:rsidRPr="00A56475">
        <w:rPr>
          <w:u w:val="single"/>
        </w:rPr>
        <w:t>S</w:t>
      </w:r>
      <w:r w:rsidR="00AA5F01" w:rsidRPr="00A56475">
        <w:rPr>
          <w:u w:val="single"/>
        </w:rPr>
        <w:t>uspect</w:t>
      </w:r>
      <w:r w:rsidR="00244B70" w:rsidRPr="00A56475">
        <w:rPr>
          <w:u w:val="single"/>
        </w:rPr>
        <w:t xml:space="preserve"> Irish</w:t>
      </w:r>
      <w:r w:rsidR="00244B70" w:rsidRPr="00A56475">
        <w:t xml:space="preserve"> and </w:t>
      </w:r>
      <w:r w:rsidR="00DF7E61" w:rsidRPr="00A56475">
        <w:rPr>
          <w:u w:val="single"/>
        </w:rPr>
        <w:t>S</w:t>
      </w:r>
      <w:r w:rsidR="00AA5F01" w:rsidRPr="00A56475">
        <w:rPr>
          <w:u w:val="single"/>
        </w:rPr>
        <w:t>uspect</w:t>
      </w:r>
      <w:r w:rsidR="00244B70" w:rsidRPr="00A56475">
        <w:rPr>
          <w:u w:val="single"/>
        </w:rPr>
        <w:t xml:space="preserve"> Muslim</w:t>
      </w:r>
      <w:r w:rsidR="00244B70" w:rsidRPr="00A56475">
        <w:t xml:space="preserve"> </w:t>
      </w:r>
      <w:r w:rsidRPr="00A56475">
        <w:t xml:space="preserve">categories </w:t>
      </w:r>
      <w:r w:rsidR="00244B70" w:rsidRPr="00A56475">
        <w:t xml:space="preserve">cover items where members of </w:t>
      </w:r>
      <w:r w:rsidR="009A0874" w:rsidRPr="00A56475">
        <w:t>Irish and Muslim</w:t>
      </w:r>
      <w:r w:rsidR="003A0DA1" w:rsidRPr="00A56475">
        <w:t xml:space="preserve"> communities</w:t>
      </w:r>
      <w:r w:rsidR="00244B70" w:rsidRPr="00A56475">
        <w:t xml:space="preserve"> are referred </w:t>
      </w:r>
      <w:r w:rsidR="00D124CE">
        <w:t>to</w:t>
      </w:r>
      <w:r w:rsidR="00F8236B" w:rsidRPr="00A56475">
        <w:t xml:space="preserve"> as </w:t>
      </w:r>
      <w:r w:rsidR="006D7732" w:rsidRPr="00A56475">
        <w:t xml:space="preserve">terror suspects or </w:t>
      </w:r>
      <w:r w:rsidR="00244B70" w:rsidRPr="00A56475">
        <w:t>a</w:t>
      </w:r>
      <w:r w:rsidR="00CD6729" w:rsidRPr="00A56475">
        <w:t>s a</w:t>
      </w:r>
      <w:r w:rsidR="00244B70" w:rsidRPr="00A56475">
        <w:t xml:space="preserve"> threat. </w:t>
      </w:r>
      <w:r w:rsidR="00244B70" w:rsidRPr="00A56475">
        <w:rPr>
          <w:u w:val="single"/>
        </w:rPr>
        <w:t>IRA/Sinn Féin</w:t>
      </w:r>
      <w:r w:rsidR="00244B70" w:rsidRPr="00A56475">
        <w:t xml:space="preserve"> and </w:t>
      </w:r>
      <w:r w:rsidR="00244B70" w:rsidRPr="00A56475">
        <w:rPr>
          <w:u w:val="single"/>
        </w:rPr>
        <w:t>Muslim Terrorist</w:t>
      </w:r>
      <w:r w:rsidR="00244B70" w:rsidRPr="00A56475">
        <w:t xml:space="preserve"> cover items where members of </w:t>
      </w:r>
      <w:r w:rsidR="00EA6275" w:rsidRPr="00A56475">
        <w:t>these</w:t>
      </w:r>
      <w:r w:rsidR="003A0DA1" w:rsidRPr="00A56475">
        <w:t xml:space="preserve"> communities</w:t>
      </w:r>
      <w:r w:rsidR="00244B70" w:rsidRPr="00A56475">
        <w:t xml:space="preserve"> are referred to as being part of the IRA or Sinn Féin, or as terrorists inspired by Islam(ism). Conversely, </w:t>
      </w:r>
      <w:r w:rsidR="00244B70" w:rsidRPr="00A56475">
        <w:rPr>
          <w:u w:val="single"/>
        </w:rPr>
        <w:t>Non</w:t>
      </w:r>
      <w:r w:rsidR="00C44001" w:rsidRPr="00A56475">
        <w:rPr>
          <w:u w:val="single"/>
        </w:rPr>
        <w:t>-suspect</w:t>
      </w:r>
      <w:r w:rsidR="00244B70" w:rsidRPr="00A56475">
        <w:rPr>
          <w:u w:val="single"/>
        </w:rPr>
        <w:t xml:space="preserve"> Irish</w:t>
      </w:r>
      <w:r w:rsidR="00244B70" w:rsidRPr="00A56475">
        <w:t xml:space="preserve"> and </w:t>
      </w:r>
      <w:r w:rsidR="00244B70" w:rsidRPr="00A56475">
        <w:rPr>
          <w:u w:val="single"/>
        </w:rPr>
        <w:t>Non</w:t>
      </w:r>
      <w:r w:rsidR="00C44001" w:rsidRPr="00A56475">
        <w:rPr>
          <w:u w:val="single"/>
        </w:rPr>
        <w:t>-suspect</w:t>
      </w:r>
      <w:r w:rsidR="00244B70" w:rsidRPr="00A56475">
        <w:rPr>
          <w:u w:val="single"/>
        </w:rPr>
        <w:t xml:space="preserve"> Muslim</w:t>
      </w:r>
      <w:r w:rsidR="00244B70" w:rsidRPr="00A56475">
        <w:t xml:space="preserve"> cover items where the</w:t>
      </w:r>
      <w:r w:rsidR="00B62913" w:rsidRPr="00A56475">
        <w:t xml:space="preserve">y </w:t>
      </w:r>
      <w:r w:rsidR="00244B70" w:rsidRPr="00A56475">
        <w:t xml:space="preserve">are referred to in terms depicting them as </w:t>
      </w:r>
      <w:r w:rsidR="001B45E1" w:rsidRPr="00A56475">
        <w:t>not being a threat</w:t>
      </w:r>
      <w:r w:rsidR="00244B70" w:rsidRPr="00A56475">
        <w:t xml:space="preserve">, with </w:t>
      </w:r>
      <w:r w:rsidR="007B091B" w:rsidRPr="00A56475">
        <w:rPr>
          <w:u w:val="single"/>
        </w:rPr>
        <w:t>Irishoph</w:t>
      </w:r>
      <w:r w:rsidR="00244B70" w:rsidRPr="00A56475">
        <w:rPr>
          <w:u w:val="single"/>
        </w:rPr>
        <w:t>obia</w:t>
      </w:r>
      <w:r w:rsidR="00244B70" w:rsidRPr="00A56475">
        <w:t xml:space="preserve"> and </w:t>
      </w:r>
      <w:r w:rsidR="00244B70" w:rsidRPr="00A56475">
        <w:rPr>
          <w:u w:val="single"/>
        </w:rPr>
        <w:t>Islamophobia</w:t>
      </w:r>
      <w:r w:rsidR="00244B70" w:rsidRPr="00A56475">
        <w:t xml:space="preserve"> relating to backlashes against </w:t>
      </w:r>
      <w:r w:rsidR="008B215F" w:rsidRPr="00A56475">
        <w:t>these</w:t>
      </w:r>
      <w:r w:rsidR="003A0DA1" w:rsidRPr="00A56475">
        <w:t xml:space="preserve"> communities</w:t>
      </w:r>
      <w:r w:rsidR="00244B70" w:rsidRPr="00A56475">
        <w:t xml:space="preserve">. </w:t>
      </w:r>
      <w:r w:rsidR="00454B1C" w:rsidRPr="00A56475">
        <w:rPr>
          <w:u w:val="single"/>
        </w:rPr>
        <w:t>S</w:t>
      </w:r>
      <w:r w:rsidR="00AA5F01" w:rsidRPr="00A56475">
        <w:rPr>
          <w:u w:val="single"/>
        </w:rPr>
        <w:t>uspect</w:t>
      </w:r>
      <w:r w:rsidR="00244B70" w:rsidRPr="00A56475">
        <w:rPr>
          <w:u w:val="single"/>
        </w:rPr>
        <w:t xml:space="preserve"> Police/Judiciary</w:t>
      </w:r>
      <w:r w:rsidR="00244B70" w:rsidRPr="00A56475">
        <w:t xml:space="preserve"> covers news items where the security apparatus </w:t>
      </w:r>
      <w:r w:rsidR="00AC1BCF" w:rsidRPr="00A56475">
        <w:t>is</w:t>
      </w:r>
      <w:r w:rsidR="00244B70" w:rsidRPr="00A56475">
        <w:t xml:space="preserve"> </w:t>
      </w:r>
      <w:r w:rsidR="00CE16B1" w:rsidRPr="00A56475">
        <w:t>reported</w:t>
      </w:r>
      <w:r w:rsidR="00244B70" w:rsidRPr="00A56475">
        <w:t xml:space="preserve"> as performing </w:t>
      </w:r>
      <w:r w:rsidR="00AC1BCF" w:rsidRPr="00A56475">
        <w:t>its</w:t>
      </w:r>
      <w:r w:rsidR="00244B70" w:rsidRPr="00A56475">
        <w:t xml:space="preserve"> duties in ways unbefitting </w:t>
      </w:r>
      <w:r w:rsidR="00AC1BCF" w:rsidRPr="00A56475">
        <w:t>its assigned social role</w:t>
      </w:r>
      <w:r w:rsidR="00244B70" w:rsidRPr="00A56475">
        <w:t xml:space="preserve">. </w:t>
      </w:r>
      <w:r w:rsidR="00B95608" w:rsidRPr="00A56475">
        <w:t>In total, 1,068 news items responded to these categories (Figure 2)</w:t>
      </w:r>
      <w:r w:rsidR="006A31CF" w:rsidRPr="00A56475">
        <w:t>.</w:t>
      </w:r>
    </w:p>
    <w:p w:rsidR="00244B70" w:rsidRPr="00A56475" w:rsidRDefault="00244B70" w:rsidP="008F7BE2">
      <w:pPr>
        <w:suppressAutoHyphens w:val="0"/>
        <w:spacing w:line="480" w:lineRule="auto"/>
        <w:jc w:val="both"/>
      </w:pPr>
    </w:p>
    <w:p w:rsidR="006B36CA" w:rsidRPr="00A56475" w:rsidRDefault="009C2FCD" w:rsidP="008F7BE2">
      <w:pPr>
        <w:suppressAutoHyphens w:val="0"/>
        <w:spacing w:line="480" w:lineRule="auto"/>
        <w:jc w:val="both"/>
      </w:pPr>
      <w:r w:rsidRPr="00A56475">
        <w:t>FIGURE 2</w:t>
      </w:r>
      <w:r w:rsidR="006B36CA" w:rsidRPr="00A56475">
        <w:t xml:space="preserve"> ABOUT HERE</w:t>
      </w:r>
    </w:p>
    <w:p w:rsidR="006B36CA" w:rsidRPr="00A56475" w:rsidRDefault="006B36CA" w:rsidP="008F7BE2">
      <w:pPr>
        <w:suppressAutoHyphens w:val="0"/>
        <w:spacing w:line="480" w:lineRule="auto"/>
        <w:jc w:val="both"/>
      </w:pPr>
    </w:p>
    <w:p w:rsidR="00332A56" w:rsidRPr="00A56475" w:rsidRDefault="003B6F9E" w:rsidP="008F7BE2">
      <w:pPr>
        <w:suppressAutoHyphens w:val="0"/>
        <w:spacing w:line="480" w:lineRule="auto"/>
        <w:ind w:firstLine="720"/>
        <w:jc w:val="both"/>
      </w:pPr>
      <w:r w:rsidRPr="00A56475">
        <w:lastRenderedPageBreak/>
        <w:t xml:space="preserve">The </w:t>
      </w:r>
      <w:r w:rsidR="00093015" w:rsidRPr="00A56475">
        <w:t xml:space="preserve">relatively </w:t>
      </w:r>
      <w:r w:rsidRPr="00A56475">
        <w:t xml:space="preserve">high incidence of </w:t>
      </w:r>
      <w:r w:rsidR="00CB41AB" w:rsidRPr="00A56475">
        <w:t xml:space="preserve">the </w:t>
      </w:r>
      <w:r w:rsidRPr="00A56475">
        <w:rPr>
          <w:u w:val="single"/>
        </w:rPr>
        <w:t>Suspect Muslim</w:t>
      </w:r>
      <w:r w:rsidRPr="00A56475">
        <w:t xml:space="preserve"> </w:t>
      </w:r>
      <w:r w:rsidR="002F58FC">
        <w:t xml:space="preserve">category </w:t>
      </w:r>
      <w:r w:rsidR="00026A62" w:rsidRPr="00A56475">
        <w:t xml:space="preserve">(12.5% of coded </w:t>
      </w:r>
      <w:r w:rsidR="00894D26" w:rsidRPr="00A56475">
        <w:t xml:space="preserve">news </w:t>
      </w:r>
      <w:r w:rsidR="00026A62" w:rsidRPr="00A56475">
        <w:t xml:space="preserve">items) </w:t>
      </w:r>
      <w:r w:rsidRPr="00A56475">
        <w:t>suggests that Muslim communities are represented as “suspect” in the</w:t>
      </w:r>
      <w:r w:rsidR="00314B38" w:rsidRPr="00A56475">
        <w:t xml:space="preserve"> press</w:t>
      </w:r>
      <w:r w:rsidRPr="00A56475">
        <w:t xml:space="preserve">, or at least as more “suspect” than Irish communities. </w:t>
      </w:r>
      <w:r w:rsidRPr="00A56475">
        <w:rPr>
          <w:u w:val="single"/>
        </w:rPr>
        <w:t>Suspect Irish</w:t>
      </w:r>
      <w:r w:rsidRPr="00A56475">
        <w:t xml:space="preserve"> appeared in 2.4% of coded items, which is almost equal to </w:t>
      </w:r>
      <w:r w:rsidR="00C44001" w:rsidRPr="00A56475">
        <w:rPr>
          <w:u w:val="single"/>
        </w:rPr>
        <w:t>Non-suspect</w:t>
      </w:r>
      <w:r w:rsidRPr="00A56475">
        <w:rPr>
          <w:u w:val="single"/>
        </w:rPr>
        <w:t xml:space="preserve"> Irish</w:t>
      </w:r>
      <w:r w:rsidRPr="00A56475">
        <w:t xml:space="preserve"> (2.3%), </w:t>
      </w:r>
      <w:r w:rsidR="00136EAD" w:rsidRPr="00A56475">
        <w:t xml:space="preserve">with </w:t>
      </w:r>
      <w:r w:rsidRPr="00A56475">
        <w:rPr>
          <w:u w:val="single"/>
        </w:rPr>
        <w:t>Irishophobia</w:t>
      </w:r>
      <w:r w:rsidR="00136EAD" w:rsidRPr="00A56475">
        <w:t xml:space="preserve"> appearing</w:t>
      </w:r>
      <w:r w:rsidRPr="00A56475">
        <w:t xml:space="preserve"> in about 1% </w:t>
      </w:r>
      <w:r w:rsidR="00136EAD" w:rsidRPr="00A56475">
        <w:t xml:space="preserve">and </w:t>
      </w:r>
      <w:r w:rsidRPr="00A56475">
        <w:rPr>
          <w:u w:val="single"/>
        </w:rPr>
        <w:t>IRA/Sinn Féin</w:t>
      </w:r>
      <w:r w:rsidRPr="00A56475">
        <w:t xml:space="preserve"> in 3.3%. This suggests that, in our sample, Irish communities as a whole are not represented as “suspect” as frequently or </w:t>
      </w:r>
      <w:r w:rsidR="006251DC" w:rsidRPr="00A56475">
        <w:t xml:space="preserve">as </w:t>
      </w:r>
      <w:r w:rsidRPr="00A56475">
        <w:t xml:space="preserve">overtly as </w:t>
      </w:r>
      <w:r w:rsidR="006251DC" w:rsidRPr="00A56475">
        <w:t xml:space="preserve">are </w:t>
      </w:r>
      <w:r w:rsidRPr="00A56475">
        <w:t xml:space="preserve">Muslim communities. </w:t>
      </w:r>
      <w:r w:rsidRPr="00A56475">
        <w:rPr>
          <w:u w:val="single"/>
        </w:rPr>
        <w:t>Non</w:t>
      </w:r>
      <w:r w:rsidR="00C44001" w:rsidRPr="00A56475">
        <w:rPr>
          <w:u w:val="single"/>
        </w:rPr>
        <w:t>-suspect</w:t>
      </w:r>
      <w:r w:rsidRPr="00A56475">
        <w:rPr>
          <w:u w:val="single"/>
        </w:rPr>
        <w:t xml:space="preserve"> Muslim</w:t>
      </w:r>
      <w:r w:rsidRPr="00A56475">
        <w:t xml:space="preserve"> appears in 2.8% of coded items, with </w:t>
      </w:r>
      <w:r w:rsidRPr="00A56475">
        <w:rPr>
          <w:u w:val="single"/>
        </w:rPr>
        <w:t>Islamophobia</w:t>
      </w:r>
      <w:r w:rsidRPr="00A56475">
        <w:t xml:space="preserve"> and </w:t>
      </w:r>
      <w:r w:rsidRPr="00A56475">
        <w:rPr>
          <w:u w:val="single"/>
        </w:rPr>
        <w:t>Muslim Terrorist</w:t>
      </w:r>
      <w:r w:rsidRPr="00A56475">
        <w:t xml:space="preserve"> appearing in 3% and 4.1%, respectively. At face value, this would suggest that no concerted effort is made in the press to dispel popular notions that Muslim communities are “suspect”, at least when compared to coverage of Irish-related events.</w:t>
      </w:r>
    </w:p>
    <w:p w:rsidR="00244B70" w:rsidRPr="00A56475" w:rsidRDefault="00244B70" w:rsidP="008F7BE2">
      <w:pPr>
        <w:suppressAutoHyphens w:val="0"/>
        <w:spacing w:line="480" w:lineRule="auto"/>
        <w:ind w:firstLine="720"/>
        <w:jc w:val="both"/>
      </w:pPr>
      <w:r w:rsidRPr="00A56475">
        <w:t>9.1% of coded items refer to the police</w:t>
      </w:r>
      <w:r w:rsidR="00517F16" w:rsidRPr="00A56475">
        <w:t>/</w:t>
      </w:r>
      <w:r w:rsidRPr="00A56475">
        <w:t xml:space="preserve"> judiciary as </w:t>
      </w:r>
      <w:r w:rsidR="00AA5F01" w:rsidRPr="00A56475">
        <w:t>“suspect”</w:t>
      </w:r>
      <w:r w:rsidR="00332A56" w:rsidRPr="00A56475">
        <w:t xml:space="preserve">, which </w:t>
      </w:r>
      <w:r w:rsidRPr="00A56475">
        <w:t>suggests that the press casts a critical eye o</w:t>
      </w:r>
      <w:r w:rsidR="00BD7A86" w:rsidRPr="00A56475">
        <w:t>n</w:t>
      </w:r>
      <w:r w:rsidRPr="00A56475">
        <w:t xml:space="preserve"> the authorities, albeit often in retrospect</w:t>
      </w:r>
      <w:r w:rsidR="00FB103B" w:rsidRPr="00A56475">
        <w:t>, as evidenced in the coverage of the releases of the Guildford Four and Birmingham Six</w:t>
      </w:r>
      <w:r w:rsidRPr="00A56475">
        <w:t xml:space="preserve">. </w:t>
      </w:r>
      <w:r w:rsidR="00CA2D85" w:rsidRPr="00A56475">
        <w:t>In fact, w</w:t>
      </w:r>
      <w:r w:rsidRPr="00A56475">
        <w:t xml:space="preserve">hat the press deems </w:t>
      </w:r>
      <w:r w:rsidR="00AA5F01" w:rsidRPr="00A56475">
        <w:t>“suspect”</w:t>
      </w:r>
      <w:r w:rsidRPr="00A56475">
        <w:t xml:space="preserve"> </w:t>
      </w:r>
      <w:r w:rsidR="00F26E48" w:rsidRPr="00A56475">
        <w:t xml:space="preserve">here </w:t>
      </w:r>
      <w:r w:rsidRPr="00A56475">
        <w:t xml:space="preserve">is not so much a community as a way of operating. Hence the high incidence of news items with policy and legal implications. Between them, </w:t>
      </w:r>
      <w:r w:rsidRPr="00A56475">
        <w:rPr>
          <w:u w:val="single"/>
        </w:rPr>
        <w:t>Civil Liberties</w:t>
      </w:r>
      <w:r w:rsidRPr="00A56475">
        <w:t xml:space="preserve"> (12.1%), </w:t>
      </w:r>
      <w:r w:rsidRPr="00A56475">
        <w:rPr>
          <w:u w:val="single"/>
        </w:rPr>
        <w:t>Rule of Law</w:t>
      </w:r>
      <w:r w:rsidRPr="00A56475">
        <w:t xml:space="preserve"> (11%), </w:t>
      </w:r>
      <w:r w:rsidRPr="00A56475">
        <w:rPr>
          <w:u w:val="single"/>
        </w:rPr>
        <w:t>Shoot-to-Kill</w:t>
      </w:r>
      <w:r w:rsidRPr="00A56475">
        <w:t xml:space="preserve"> (9.8%) and </w:t>
      </w:r>
      <w:r w:rsidRPr="00A56475">
        <w:rPr>
          <w:u w:val="single"/>
        </w:rPr>
        <w:t>Wrongful Arrest</w:t>
      </w:r>
      <w:r w:rsidRPr="00A56475">
        <w:t xml:space="preserve"> (6.3%) cover 39</w:t>
      </w:r>
      <w:r w:rsidR="00394E4D" w:rsidRPr="00A56475">
        <w:t>.2% of all coded news items. This</w:t>
      </w:r>
      <w:r w:rsidRPr="00A56475">
        <w:t xml:space="preserve"> indicates that the press is </w:t>
      </w:r>
      <w:r w:rsidR="00E4437B" w:rsidRPr="00A56475">
        <w:t xml:space="preserve">very </w:t>
      </w:r>
      <w:r w:rsidRPr="00A56475">
        <w:t>concerned with corruption within the British establishment</w:t>
      </w:r>
      <w:r w:rsidR="00E4437B" w:rsidRPr="00A56475">
        <w:t>, which is reflected in its c</w:t>
      </w:r>
      <w:r w:rsidR="0039601E" w:rsidRPr="00A56475">
        <w:t>oncern with British values</w:t>
      </w:r>
      <w:r w:rsidR="00E4437B" w:rsidRPr="00A56475">
        <w:t xml:space="preserve">, as </w:t>
      </w:r>
      <w:r w:rsidR="0039601E" w:rsidRPr="00A56475">
        <w:t xml:space="preserve">evidenced in </w:t>
      </w:r>
      <w:r w:rsidR="0039601E" w:rsidRPr="00A56475">
        <w:rPr>
          <w:u w:val="single"/>
        </w:rPr>
        <w:t>Race Relations</w:t>
      </w:r>
      <w:r w:rsidR="0039601E" w:rsidRPr="00A56475">
        <w:t xml:space="preserve"> (8.7%), </w:t>
      </w:r>
      <w:r w:rsidR="0039601E" w:rsidRPr="00A56475">
        <w:rPr>
          <w:u w:val="single"/>
        </w:rPr>
        <w:t>Multiculturalism</w:t>
      </w:r>
      <w:r w:rsidR="0039601E" w:rsidRPr="00A56475">
        <w:t xml:space="preserve"> (3.6%), </w:t>
      </w:r>
      <w:r w:rsidR="0039601E" w:rsidRPr="00A56475">
        <w:rPr>
          <w:u w:val="single"/>
        </w:rPr>
        <w:t>Fundamentalism</w:t>
      </w:r>
      <w:r w:rsidR="0039601E" w:rsidRPr="00A56475">
        <w:t xml:space="preserve"> (2.5%), </w:t>
      </w:r>
      <w:r w:rsidRPr="00A56475">
        <w:rPr>
          <w:u w:val="single"/>
        </w:rPr>
        <w:t>Religious Tolerance</w:t>
      </w:r>
      <w:r w:rsidR="0039601E" w:rsidRPr="00A56475">
        <w:t xml:space="preserve"> (2.5%)</w:t>
      </w:r>
      <w:r w:rsidRPr="00A56475">
        <w:t xml:space="preserve">, </w:t>
      </w:r>
      <w:r w:rsidRPr="00A56475">
        <w:rPr>
          <w:u w:val="single"/>
        </w:rPr>
        <w:t>Freedom of Speech</w:t>
      </w:r>
      <w:r w:rsidR="0039601E" w:rsidRPr="00A56475">
        <w:t xml:space="preserve"> (1.</w:t>
      </w:r>
      <w:r w:rsidR="00394E4D" w:rsidRPr="00A56475">
        <w:t>5%)</w:t>
      </w:r>
      <w:r w:rsidRPr="00A56475">
        <w:t xml:space="preserve"> </w:t>
      </w:r>
      <w:r w:rsidR="0039601E" w:rsidRPr="00A56475">
        <w:t xml:space="preserve">and </w:t>
      </w:r>
      <w:r w:rsidRPr="00A56475">
        <w:rPr>
          <w:u w:val="single"/>
        </w:rPr>
        <w:t>Britishness</w:t>
      </w:r>
      <w:r w:rsidRPr="00A56475">
        <w:t xml:space="preserve"> </w:t>
      </w:r>
      <w:r w:rsidR="0039601E" w:rsidRPr="00A56475">
        <w:t xml:space="preserve">(1.3%) </w:t>
      </w:r>
      <w:r w:rsidR="00394E4D" w:rsidRPr="00A56475">
        <w:t>account</w:t>
      </w:r>
      <w:r w:rsidR="00F737EB" w:rsidRPr="00A56475">
        <w:t>ing</w:t>
      </w:r>
      <w:r w:rsidR="00394E4D" w:rsidRPr="00A56475">
        <w:t xml:space="preserve"> for </w:t>
      </w:r>
      <w:r w:rsidR="0039601E" w:rsidRPr="00A56475">
        <w:t xml:space="preserve">a combined total of 20.1% of coded items. </w:t>
      </w:r>
      <w:r w:rsidR="00B46572" w:rsidRPr="00A56475">
        <w:t xml:space="preserve">Perceived threats to British </w:t>
      </w:r>
      <w:r w:rsidR="00B46572" w:rsidRPr="00A56475">
        <w:lastRenderedPageBreak/>
        <w:t xml:space="preserve">values and Britishness are </w:t>
      </w:r>
      <w:r w:rsidR="006E4E92" w:rsidRPr="00A56475">
        <w:t xml:space="preserve">therefore </w:t>
      </w:r>
      <w:r w:rsidR="00B46572" w:rsidRPr="00A56475">
        <w:t>very much part of the subtext of</w:t>
      </w:r>
      <w:r w:rsidR="000D0403" w:rsidRPr="00A56475">
        <w:t xml:space="preserve"> </w:t>
      </w:r>
      <w:r w:rsidR="00B46572" w:rsidRPr="00A56475">
        <w:t>coverage o</w:t>
      </w:r>
      <w:r w:rsidR="00394E4D" w:rsidRPr="00A56475">
        <w:t>f Irish and Muslim</w:t>
      </w:r>
      <w:r w:rsidR="003A0DA1" w:rsidRPr="00A56475">
        <w:t xml:space="preserve"> communities</w:t>
      </w:r>
      <w:r w:rsidR="0085728C" w:rsidRPr="00A56475">
        <w:t xml:space="preserve"> in </w:t>
      </w:r>
      <w:r w:rsidR="005654EA" w:rsidRPr="00A56475">
        <w:t xml:space="preserve">both the national and diaspora </w:t>
      </w:r>
      <w:r w:rsidR="0085728C" w:rsidRPr="00A56475">
        <w:t>press.</w:t>
      </w:r>
    </w:p>
    <w:p w:rsidR="004D055E" w:rsidRPr="00A56475" w:rsidRDefault="004D055E" w:rsidP="008F7BE2">
      <w:pPr>
        <w:suppressAutoHyphens w:val="0"/>
        <w:spacing w:line="480" w:lineRule="auto"/>
        <w:jc w:val="both"/>
        <w:rPr>
          <w:b/>
          <w:bCs/>
          <w:caps/>
        </w:rPr>
      </w:pPr>
      <w:bookmarkStart w:id="2" w:name="_Toc233005640"/>
    </w:p>
    <w:p w:rsidR="00244B70" w:rsidRPr="00A56475" w:rsidRDefault="00244B70" w:rsidP="008F7BE2">
      <w:pPr>
        <w:suppressAutoHyphens w:val="0"/>
        <w:spacing w:line="480" w:lineRule="auto"/>
        <w:jc w:val="both"/>
        <w:rPr>
          <w:b/>
          <w:bCs/>
        </w:rPr>
      </w:pPr>
      <w:r w:rsidRPr="00A56475">
        <w:rPr>
          <w:b/>
          <w:bCs/>
        </w:rPr>
        <w:t>Conclu</w:t>
      </w:r>
      <w:bookmarkEnd w:id="2"/>
      <w:r w:rsidR="00D66E5C" w:rsidRPr="00A56475">
        <w:rPr>
          <w:b/>
          <w:bCs/>
        </w:rPr>
        <w:t>sion</w:t>
      </w:r>
    </w:p>
    <w:p w:rsidR="00244B70" w:rsidRPr="00A56475" w:rsidRDefault="00244B70" w:rsidP="008F7BE2">
      <w:pPr>
        <w:suppressAutoHyphens w:val="0"/>
        <w:spacing w:line="480" w:lineRule="auto"/>
        <w:jc w:val="both"/>
      </w:pPr>
    </w:p>
    <w:p w:rsidR="004C67AE" w:rsidRPr="00A56475" w:rsidRDefault="00F26E48" w:rsidP="008F7BE2">
      <w:pPr>
        <w:suppressAutoHyphens w:val="0"/>
        <w:spacing w:line="480" w:lineRule="auto"/>
        <w:jc w:val="both"/>
      </w:pPr>
      <w:r w:rsidRPr="00A56475">
        <w:tab/>
        <w:t xml:space="preserve">Our </w:t>
      </w:r>
      <w:r w:rsidR="007E4ED5">
        <w:t>mapping analysis</w:t>
      </w:r>
      <w:r w:rsidRPr="00A56475">
        <w:t xml:space="preserve"> of national and diaspora press coverage of events involving Irish and Muslim communities </w:t>
      </w:r>
      <w:r w:rsidR="006E76BB" w:rsidRPr="00A56475">
        <w:t xml:space="preserve">in Britain </w:t>
      </w:r>
      <w:r w:rsidRPr="00A56475">
        <w:t xml:space="preserve">between 1974 and 2007 has shown that the British press participates in the construction of these communities as “suspect” to varying degrees and in divergent ways. </w:t>
      </w:r>
      <w:r w:rsidR="006E76BB" w:rsidRPr="00A56475">
        <w:t>V</w:t>
      </w:r>
      <w:r w:rsidRPr="00A56475">
        <w:t xml:space="preserve">ariance in representation </w:t>
      </w:r>
      <w:r w:rsidR="009623AB" w:rsidRPr="00A56475">
        <w:t>is not only related</w:t>
      </w:r>
      <w:r w:rsidRPr="00A56475">
        <w:t xml:space="preserve"> to the </w:t>
      </w:r>
      <w:r w:rsidR="00AC204B" w:rsidRPr="00A56475">
        <w:t>targeted readership</w:t>
      </w:r>
      <w:r w:rsidR="0068616F" w:rsidRPr="00A56475">
        <w:t>s</w:t>
      </w:r>
      <w:r w:rsidR="00AC204B" w:rsidRPr="00A56475">
        <w:t xml:space="preserve"> and political orientations of the </w:t>
      </w:r>
      <w:r w:rsidRPr="00A56475">
        <w:t>newspaper</w:t>
      </w:r>
      <w:r w:rsidR="009725E2" w:rsidRPr="00A56475">
        <w:t>s</w:t>
      </w:r>
      <w:r w:rsidRPr="00A56475">
        <w:t xml:space="preserve"> </w:t>
      </w:r>
      <w:r w:rsidR="009725E2" w:rsidRPr="00A56475">
        <w:t>under analysis</w:t>
      </w:r>
      <w:r w:rsidRPr="00A56475">
        <w:t xml:space="preserve">, </w:t>
      </w:r>
      <w:r w:rsidR="009623AB" w:rsidRPr="00A56475">
        <w:t xml:space="preserve">but also to the </w:t>
      </w:r>
      <w:r w:rsidRPr="00A56475">
        <w:t>perceived significance of the event</w:t>
      </w:r>
      <w:r w:rsidR="00E44B1C" w:rsidRPr="00A56475">
        <w:t>s and issues</w:t>
      </w:r>
      <w:r w:rsidRPr="00A56475">
        <w:t xml:space="preserve"> reported.</w:t>
      </w:r>
      <w:r w:rsidR="00A24A2B" w:rsidRPr="00A56475">
        <w:t xml:space="preserve"> </w:t>
      </w:r>
      <w:r w:rsidR="007439E5" w:rsidRPr="00A56475">
        <w:t>We found that t</w:t>
      </w:r>
      <w:r w:rsidR="00A24A2B" w:rsidRPr="00A56475">
        <w:t xml:space="preserve">he diaspora press tends to focus more on events and issues directly relevant to their readerships; to provide more positive </w:t>
      </w:r>
      <w:r w:rsidR="00C44001" w:rsidRPr="00A56475">
        <w:t>coverage</w:t>
      </w:r>
      <w:r w:rsidR="00A24A2B" w:rsidRPr="00A56475">
        <w:t xml:space="preserve"> of Irish and Muslim communities; and to focus on the effects of being perceived as “suspect” on members of the communities</w:t>
      </w:r>
      <w:r w:rsidR="0068616F" w:rsidRPr="00A56475">
        <w:t xml:space="preserve"> they cater to</w:t>
      </w:r>
      <w:r w:rsidR="003A0814" w:rsidRPr="00A56475">
        <w:t>, thereby confirming the findings of previous research on how alternative press organs report events relevant to their readerships (</w:t>
      </w:r>
      <w:r w:rsidR="009427B2" w:rsidRPr="00A56475">
        <w:t>e.g.</w:t>
      </w:r>
      <w:r w:rsidR="003A0814" w:rsidRPr="00A56475">
        <w:t xml:space="preserve"> Baker, 2005)</w:t>
      </w:r>
      <w:r w:rsidR="00A24A2B" w:rsidRPr="00A56475">
        <w:t xml:space="preserve">. </w:t>
      </w:r>
      <w:r w:rsidR="009725E2" w:rsidRPr="00A56475">
        <w:t xml:space="preserve">In the national press, </w:t>
      </w:r>
      <w:r w:rsidR="00A24A2B" w:rsidRPr="00A56475">
        <w:t xml:space="preserve">in contrast, </w:t>
      </w:r>
      <w:r w:rsidR="009725E2" w:rsidRPr="00A56475">
        <w:t>w</w:t>
      </w:r>
      <w:r w:rsidR="00AC204B" w:rsidRPr="00A56475">
        <w:t xml:space="preserve">e found </w:t>
      </w:r>
      <w:r w:rsidR="00D64B6A" w:rsidRPr="00A56475">
        <w:t xml:space="preserve">a </w:t>
      </w:r>
      <w:r w:rsidR="003D1C32" w:rsidRPr="00A56475">
        <w:t xml:space="preserve">strong </w:t>
      </w:r>
      <w:r w:rsidR="00D64B6A" w:rsidRPr="00A56475">
        <w:t xml:space="preserve">tendency to represent </w:t>
      </w:r>
      <w:r w:rsidR="00AC204B" w:rsidRPr="00A56475">
        <w:t>Muslim communities</w:t>
      </w:r>
      <w:r w:rsidR="00C848BD" w:rsidRPr="00A56475">
        <w:t xml:space="preserve"> as threatening </w:t>
      </w:r>
      <w:r w:rsidR="00D64B6A" w:rsidRPr="00A56475">
        <w:t xml:space="preserve">perceived British </w:t>
      </w:r>
      <w:r w:rsidR="00C848BD" w:rsidRPr="00A56475">
        <w:t>values</w:t>
      </w:r>
      <w:r w:rsidR="00AC204B" w:rsidRPr="00A56475">
        <w:t>, w</w:t>
      </w:r>
      <w:r w:rsidR="00D64B6A" w:rsidRPr="00A56475">
        <w:t xml:space="preserve">ith </w:t>
      </w:r>
      <w:r w:rsidR="005F702D" w:rsidRPr="00A56475">
        <w:t xml:space="preserve">Irish </w:t>
      </w:r>
      <w:r w:rsidR="00AC204B" w:rsidRPr="00A56475">
        <w:t>communities tend</w:t>
      </w:r>
      <w:r w:rsidR="00D64B6A" w:rsidRPr="00A56475">
        <w:t>ing</w:t>
      </w:r>
      <w:r w:rsidR="00AC204B" w:rsidRPr="00A56475">
        <w:t xml:space="preserve"> to be represented </w:t>
      </w:r>
      <w:r w:rsidR="00C848BD" w:rsidRPr="00A56475">
        <w:t>as a threat to the British state</w:t>
      </w:r>
      <w:r w:rsidR="005F702D" w:rsidRPr="00A56475">
        <w:t>, although with much greater emphasis on the IRA</w:t>
      </w:r>
      <w:r w:rsidR="005C1C93" w:rsidRPr="00A56475">
        <w:t xml:space="preserve"> than on the Irish as a whole</w:t>
      </w:r>
      <w:r w:rsidR="00C848BD" w:rsidRPr="00A56475">
        <w:t xml:space="preserve">. However, </w:t>
      </w:r>
      <w:r w:rsidR="008B29A5" w:rsidRPr="00A56475">
        <w:t xml:space="preserve">previous research suggests </w:t>
      </w:r>
      <w:r w:rsidR="00F92C44">
        <w:t xml:space="preserve">that </w:t>
      </w:r>
      <w:r w:rsidR="00C848BD" w:rsidRPr="00A56475">
        <w:t>there is a strong likelihood of a</w:t>
      </w:r>
      <w:r w:rsidR="00242AD4" w:rsidRPr="00A56475">
        <w:t xml:space="preserve"> </w:t>
      </w:r>
      <w:r w:rsidR="00C848BD" w:rsidRPr="00A56475">
        <w:t>n</w:t>
      </w:r>
      <w:r w:rsidR="00242AD4" w:rsidRPr="00A56475">
        <w:t>egative</w:t>
      </w:r>
      <w:r w:rsidR="00C848BD" w:rsidRPr="00A56475">
        <w:t xml:space="preserve"> association of </w:t>
      </w:r>
      <w:r w:rsidR="009725E2" w:rsidRPr="00A56475">
        <w:t xml:space="preserve">the </w:t>
      </w:r>
      <w:r w:rsidR="00C848BD" w:rsidRPr="00A56475">
        <w:t xml:space="preserve">IRA with </w:t>
      </w:r>
      <w:r w:rsidR="00AB17B3" w:rsidRPr="00A56475">
        <w:t xml:space="preserve">the </w:t>
      </w:r>
      <w:r w:rsidR="00C848BD" w:rsidRPr="00A56475">
        <w:t>Irish occurring in public discourse</w:t>
      </w:r>
      <w:r w:rsidR="00365D6A" w:rsidRPr="00A56475">
        <w:t>s</w:t>
      </w:r>
      <w:r w:rsidR="00F92C44">
        <w:t xml:space="preserve"> </w:t>
      </w:r>
      <w:r w:rsidR="00F92C44" w:rsidRPr="00A56475">
        <w:t>(Morgan, 1997)</w:t>
      </w:r>
      <w:r w:rsidR="00C848BD" w:rsidRPr="00A56475">
        <w:t>.</w:t>
      </w:r>
      <w:r w:rsidR="00616ABD" w:rsidRPr="00A56475">
        <w:t xml:space="preserve"> </w:t>
      </w:r>
      <w:r w:rsidR="002654E9">
        <w:t>We found that a</w:t>
      </w:r>
      <w:r w:rsidR="00650979" w:rsidRPr="00A56475">
        <w:t xml:space="preserve"> more obvious conflation </w:t>
      </w:r>
      <w:r w:rsidR="00616ABD" w:rsidRPr="00A56475">
        <w:t>is</w:t>
      </w:r>
      <w:r w:rsidR="00AB17B3" w:rsidRPr="00A56475">
        <w:t xml:space="preserve"> </w:t>
      </w:r>
      <w:r w:rsidR="00650979" w:rsidRPr="00A56475">
        <w:t xml:space="preserve">made </w:t>
      </w:r>
      <w:r w:rsidR="00FD47F3" w:rsidRPr="00A56475">
        <w:t xml:space="preserve">in the press </w:t>
      </w:r>
      <w:r w:rsidR="00BE5053" w:rsidRPr="00A56475">
        <w:t>between Muslim</w:t>
      </w:r>
      <w:r w:rsidR="00076402" w:rsidRPr="00A56475">
        <w:t xml:space="preserve"> communities </w:t>
      </w:r>
      <w:r w:rsidR="00BE5053" w:rsidRPr="00A56475">
        <w:t xml:space="preserve">and extremism </w:t>
      </w:r>
      <w:r w:rsidR="005970D6" w:rsidRPr="00A56475">
        <w:t>tha</w:t>
      </w:r>
      <w:r w:rsidR="00BE5053" w:rsidRPr="00A56475">
        <w:t xml:space="preserve">n </w:t>
      </w:r>
      <w:r w:rsidR="005970D6" w:rsidRPr="00A56475">
        <w:t xml:space="preserve">is the case for </w:t>
      </w:r>
      <w:r w:rsidR="00076402" w:rsidRPr="00A56475">
        <w:t>Irish communities</w:t>
      </w:r>
      <w:r w:rsidR="00650979" w:rsidRPr="00A56475">
        <w:t xml:space="preserve">. </w:t>
      </w:r>
      <w:r w:rsidR="00A634CA" w:rsidRPr="00A56475">
        <w:t>In both cases, however, i</w:t>
      </w:r>
      <w:r w:rsidR="00244B70" w:rsidRPr="00A56475">
        <w:t xml:space="preserve">t is mainly </w:t>
      </w:r>
      <w:r w:rsidR="00244B70" w:rsidRPr="00A56475">
        <w:lastRenderedPageBreak/>
        <w:t>perceived extremists within these</w:t>
      </w:r>
      <w:r w:rsidR="003A0DA1" w:rsidRPr="00A56475">
        <w:t xml:space="preserve"> communities</w:t>
      </w:r>
      <w:r w:rsidR="00244B70" w:rsidRPr="00A56475">
        <w:t xml:space="preserve"> </w:t>
      </w:r>
      <w:r w:rsidR="00394E4D" w:rsidRPr="00A56475">
        <w:t>who</w:t>
      </w:r>
      <w:r w:rsidR="00244B70" w:rsidRPr="00A56475">
        <w:t xml:space="preserve"> are represented as </w:t>
      </w:r>
      <w:r w:rsidR="00AA5F01" w:rsidRPr="00A56475">
        <w:t>“suspect”</w:t>
      </w:r>
      <w:r w:rsidR="00244B70" w:rsidRPr="00A56475">
        <w:t xml:space="preserve"> and </w:t>
      </w:r>
      <w:r w:rsidR="00A353B6">
        <w:t xml:space="preserve">as </w:t>
      </w:r>
      <w:r w:rsidR="00362228" w:rsidRPr="00A56475">
        <w:t xml:space="preserve">a </w:t>
      </w:r>
      <w:r w:rsidR="00B42EC1" w:rsidRPr="00A56475">
        <w:t>threat</w:t>
      </w:r>
      <w:r w:rsidR="00C2665E" w:rsidRPr="00A56475">
        <w:t xml:space="preserve"> to Britain and its values.</w:t>
      </w:r>
    </w:p>
    <w:p w:rsidR="003736BC" w:rsidRPr="00A56475" w:rsidRDefault="00074B70" w:rsidP="008F7BE2">
      <w:pPr>
        <w:suppressAutoHyphens w:val="0"/>
        <w:spacing w:line="480" w:lineRule="auto"/>
        <w:ind w:firstLine="720"/>
        <w:jc w:val="both"/>
      </w:pPr>
      <w:r w:rsidRPr="00A56475">
        <w:t xml:space="preserve">This </w:t>
      </w:r>
      <w:r w:rsidR="00B977C2" w:rsidRPr="00A56475">
        <w:t>echoes the observation made by Schlesinger (1992: 205) in the context of the reporting of Northern Irel</w:t>
      </w:r>
      <w:r w:rsidRPr="00A56475">
        <w:t xml:space="preserve">and in the British media that </w:t>
      </w:r>
      <w:r w:rsidR="0003264F" w:rsidRPr="00A56475">
        <w:t>‘</w:t>
      </w:r>
      <w:r w:rsidR="00B977C2" w:rsidRPr="00A56475">
        <w:t>extremist violence … becomes the moral object of repugnance, whereas the legitimate violence of the security forces is handled within a framework which emphasizes its regrettable necessity</w:t>
      </w:r>
      <w:r w:rsidR="0003264F" w:rsidRPr="00A56475">
        <w:t>’</w:t>
      </w:r>
      <w:r w:rsidR="00B42EC1" w:rsidRPr="00A56475">
        <w:t xml:space="preserve">. </w:t>
      </w:r>
      <w:r w:rsidR="004C67AE" w:rsidRPr="00A56475">
        <w:t>However, o</w:t>
      </w:r>
      <w:r w:rsidR="00912D04" w:rsidRPr="00A56475">
        <w:t xml:space="preserve">ur analysis has </w:t>
      </w:r>
      <w:r w:rsidR="003A22D2" w:rsidRPr="00A56475">
        <w:t xml:space="preserve">also </w:t>
      </w:r>
      <w:r w:rsidR="00912D04" w:rsidRPr="00A56475">
        <w:t>shown</w:t>
      </w:r>
      <w:r w:rsidR="004C67AE" w:rsidRPr="00A56475">
        <w:t xml:space="preserve"> </w:t>
      </w:r>
      <w:r w:rsidR="003A22D2" w:rsidRPr="00A56475">
        <w:t xml:space="preserve">that </w:t>
      </w:r>
      <w:r w:rsidR="00735F1D" w:rsidRPr="00A56475">
        <w:t xml:space="preserve">the </w:t>
      </w:r>
      <w:r w:rsidR="00912D04" w:rsidRPr="00A56475">
        <w:t xml:space="preserve">security </w:t>
      </w:r>
      <w:r w:rsidR="003A22D2" w:rsidRPr="00A56475">
        <w:t xml:space="preserve">apparatus is </w:t>
      </w:r>
      <w:r w:rsidR="00912D04" w:rsidRPr="00A56475">
        <w:t xml:space="preserve">not </w:t>
      </w:r>
      <w:r w:rsidR="007213C9" w:rsidRPr="00A56475">
        <w:t>always</w:t>
      </w:r>
      <w:r w:rsidR="00912D04" w:rsidRPr="00A56475">
        <w:t xml:space="preserve"> portrayed as holding the moral high ground when dealing with </w:t>
      </w:r>
      <w:r w:rsidR="004164B0" w:rsidRPr="00A56475">
        <w:t xml:space="preserve">perceived </w:t>
      </w:r>
      <w:r w:rsidR="00912D04" w:rsidRPr="00A56475">
        <w:t xml:space="preserve">extremists. The </w:t>
      </w:r>
      <w:r w:rsidR="004B02AE" w:rsidRPr="00A56475">
        <w:t xml:space="preserve">state </w:t>
      </w:r>
      <w:r w:rsidR="00912D04" w:rsidRPr="00A56475">
        <w:t xml:space="preserve">security apparatus is held to account in </w:t>
      </w:r>
      <w:r w:rsidR="006508EE" w:rsidRPr="00A56475">
        <w:t xml:space="preserve">the national and diaspora </w:t>
      </w:r>
      <w:r w:rsidR="00912D04" w:rsidRPr="00A56475">
        <w:t>press</w:t>
      </w:r>
      <w:r w:rsidR="00837832" w:rsidRPr="00A56475">
        <w:t xml:space="preserve">, as evidenced in extensive coverage of fundamental examinations of the judiciary and security forces </w:t>
      </w:r>
      <w:r w:rsidR="00873799" w:rsidRPr="00A56475">
        <w:t xml:space="preserve">that followed </w:t>
      </w:r>
      <w:r w:rsidR="00837832" w:rsidRPr="00A56475">
        <w:t xml:space="preserve">several of the events </w:t>
      </w:r>
      <w:r w:rsidR="00EB5C0D" w:rsidRPr="00A56475">
        <w:t>under</w:t>
      </w:r>
      <w:r w:rsidR="00837832" w:rsidRPr="00A56475">
        <w:t xml:space="preserve"> analysis</w:t>
      </w:r>
      <w:r w:rsidR="00912D04" w:rsidRPr="00A56475">
        <w:t>.</w:t>
      </w:r>
      <w:r w:rsidR="007300E3" w:rsidRPr="00A56475">
        <w:t xml:space="preserve"> </w:t>
      </w:r>
      <w:r w:rsidR="00770909" w:rsidRPr="00A56475">
        <w:t xml:space="preserve">This is especially </w:t>
      </w:r>
      <w:r w:rsidR="00453D6D" w:rsidRPr="00A56475">
        <w:t xml:space="preserve">true </w:t>
      </w:r>
      <w:r w:rsidR="00244B70" w:rsidRPr="00A56475">
        <w:t xml:space="preserve">when </w:t>
      </w:r>
      <w:r w:rsidR="00770909" w:rsidRPr="00A56475">
        <w:t xml:space="preserve">the security apparatus is perceived </w:t>
      </w:r>
      <w:r w:rsidR="00341B5F" w:rsidRPr="00A56475">
        <w:t>as</w:t>
      </w:r>
      <w:r w:rsidR="00C15F45" w:rsidRPr="00A56475">
        <w:t xml:space="preserve"> </w:t>
      </w:r>
      <w:r w:rsidR="00770909" w:rsidRPr="00A56475">
        <w:t>endanger</w:t>
      </w:r>
      <w:r w:rsidR="00341B5F" w:rsidRPr="00A56475">
        <w:t>ing</w:t>
      </w:r>
      <w:r w:rsidR="00770909" w:rsidRPr="00A56475">
        <w:t xml:space="preserve"> </w:t>
      </w:r>
      <w:r w:rsidR="00244B70" w:rsidRPr="00A56475">
        <w:t xml:space="preserve">what it is </w:t>
      </w:r>
      <w:r w:rsidR="00770909" w:rsidRPr="00A56475">
        <w:t>charged with defending</w:t>
      </w:r>
      <w:r w:rsidR="00244B70" w:rsidRPr="00A56475">
        <w:t xml:space="preserve"> </w:t>
      </w:r>
      <w:r w:rsidR="00770909" w:rsidRPr="00A56475">
        <w:t xml:space="preserve">through </w:t>
      </w:r>
      <w:r w:rsidR="00F666A0" w:rsidRPr="00A56475">
        <w:t>an</w:t>
      </w:r>
      <w:r w:rsidR="00770909" w:rsidRPr="00A56475">
        <w:t xml:space="preserve"> </w:t>
      </w:r>
      <w:r w:rsidR="00244B70" w:rsidRPr="00A56475">
        <w:t>aggres</w:t>
      </w:r>
      <w:r w:rsidR="00530E8D" w:rsidRPr="00A56475">
        <w:t>sive pursuit of counterterrorism</w:t>
      </w:r>
      <w:r w:rsidR="000E59D9" w:rsidRPr="00A56475">
        <w:t xml:space="preserve"> measures</w:t>
      </w:r>
      <w:r w:rsidR="00244B70" w:rsidRPr="00A56475">
        <w:t xml:space="preserve">. </w:t>
      </w:r>
      <w:r w:rsidR="00837832" w:rsidRPr="00A56475">
        <w:t>Furthermore, t</w:t>
      </w:r>
      <w:r w:rsidR="00244B70" w:rsidRPr="00A56475">
        <w:t xml:space="preserve">he </w:t>
      </w:r>
      <w:r w:rsidR="00837832" w:rsidRPr="00A56475">
        <w:t>high incidence</w:t>
      </w:r>
      <w:r w:rsidR="00244B70" w:rsidRPr="00A56475">
        <w:t xml:space="preserve"> of news items relating to the rule of law</w:t>
      </w:r>
      <w:r w:rsidR="00C83977" w:rsidRPr="00A56475">
        <w:t xml:space="preserve"> </w:t>
      </w:r>
      <w:r w:rsidR="00244B70" w:rsidRPr="00A56475">
        <w:t xml:space="preserve">and </w:t>
      </w:r>
      <w:r w:rsidR="00AC5DF7" w:rsidRPr="00A56475">
        <w:t>Britishness</w:t>
      </w:r>
      <w:r w:rsidR="00EC0138" w:rsidRPr="00A56475">
        <w:t>,</w:t>
      </w:r>
      <w:r w:rsidR="009903CD" w:rsidRPr="00A56475">
        <w:t xml:space="preserve"> in the largest sense of the terms,</w:t>
      </w:r>
      <w:r w:rsidR="009F2C2F" w:rsidRPr="00A56475">
        <w:t xml:space="preserve"> </w:t>
      </w:r>
      <w:r w:rsidR="00244B70" w:rsidRPr="00A56475">
        <w:t xml:space="preserve">demonstrates that the </w:t>
      </w:r>
      <w:r w:rsidR="00E329A5" w:rsidRPr="00A56475">
        <w:t xml:space="preserve">national </w:t>
      </w:r>
      <w:r w:rsidR="00BC1715" w:rsidRPr="00A56475">
        <w:t xml:space="preserve">and diaspora </w:t>
      </w:r>
      <w:r w:rsidR="00244B70" w:rsidRPr="00A56475">
        <w:t xml:space="preserve">press </w:t>
      </w:r>
      <w:r w:rsidR="00BC1715" w:rsidRPr="00A56475">
        <w:t>are</w:t>
      </w:r>
      <w:r w:rsidR="00244B70" w:rsidRPr="00A56475">
        <w:t xml:space="preserve"> </w:t>
      </w:r>
      <w:r w:rsidR="00E329A5" w:rsidRPr="00A56475">
        <w:t xml:space="preserve">deeply </w:t>
      </w:r>
      <w:r w:rsidR="00244B70" w:rsidRPr="00A56475">
        <w:t xml:space="preserve">concerned with preserving the integrity of the British state, </w:t>
      </w:r>
      <w:r w:rsidR="00833E57" w:rsidRPr="00A56475">
        <w:t xml:space="preserve">its </w:t>
      </w:r>
      <w:r w:rsidR="00244B70" w:rsidRPr="00A56475">
        <w:t xml:space="preserve">institutions, and </w:t>
      </w:r>
      <w:r w:rsidR="00833E57" w:rsidRPr="00A56475">
        <w:t xml:space="preserve">its </w:t>
      </w:r>
      <w:r w:rsidR="00244B70" w:rsidRPr="00A56475">
        <w:t>values. Abusing these is deemed intolerable, whoever the perpetrators may be.</w:t>
      </w:r>
      <w:r w:rsidR="002601A4" w:rsidRPr="00A56475">
        <w:t xml:space="preserve"> </w:t>
      </w:r>
      <w:r w:rsidR="00082D20" w:rsidRPr="00A56475">
        <w:t xml:space="preserve">In this way, </w:t>
      </w:r>
      <w:r w:rsidR="00DC48BD" w:rsidRPr="00A56475">
        <w:t xml:space="preserve">the </w:t>
      </w:r>
      <w:r w:rsidR="00F015A6" w:rsidRPr="00A56475">
        <w:t>newspapers</w:t>
      </w:r>
      <w:r w:rsidR="00DC48BD" w:rsidRPr="00A56475">
        <w:t xml:space="preserve"> under analysis </w:t>
      </w:r>
      <w:r w:rsidR="00082D20" w:rsidRPr="00A56475">
        <w:t>defend</w:t>
      </w:r>
      <w:r w:rsidR="00DC48BD" w:rsidRPr="00A56475">
        <w:t xml:space="preserve"> their own constructions of Britishness against </w:t>
      </w:r>
      <w:r w:rsidR="00082D20" w:rsidRPr="00A56475">
        <w:t xml:space="preserve">perceived extremists </w:t>
      </w:r>
      <w:r w:rsidR="00DC48BD" w:rsidRPr="00A56475">
        <w:t>and against abuses of power and authority by the security apparatus.</w:t>
      </w:r>
    </w:p>
    <w:p w:rsidR="00244B70" w:rsidRPr="00A56475" w:rsidRDefault="008F7BE2" w:rsidP="008F7BE2">
      <w:pPr>
        <w:suppressAutoHyphens w:val="0"/>
        <w:spacing w:line="480" w:lineRule="auto"/>
        <w:jc w:val="both"/>
        <w:rPr>
          <w:b/>
          <w:bCs/>
          <w:caps/>
        </w:rPr>
      </w:pPr>
      <w:r>
        <w:rPr>
          <w:b/>
          <w:bCs/>
        </w:rPr>
        <w:br w:type="page"/>
      </w:r>
      <w:r w:rsidR="00546C11" w:rsidRPr="00A56475">
        <w:rPr>
          <w:b/>
          <w:bCs/>
        </w:rPr>
        <w:lastRenderedPageBreak/>
        <w:t>References</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t>Abbas, Tahir (2007) Islamic Political Radicalism. Edinburgh: Edinburgh University Press.</w:t>
      </w:r>
    </w:p>
    <w:p w:rsidR="007B5E26" w:rsidRPr="00A56475" w:rsidRDefault="007B5E26" w:rsidP="008F7BE2">
      <w:pPr>
        <w:suppressAutoHyphens w:val="0"/>
        <w:spacing w:line="480" w:lineRule="auto"/>
        <w:jc w:val="both"/>
      </w:pPr>
    </w:p>
    <w:p w:rsidR="007B5E26" w:rsidRPr="00A56475" w:rsidRDefault="007B5E26" w:rsidP="008F7BE2">
      <w:pPr>
        <w:suppressAutoHyphens w:val="0"/>
        <w:spacing w:line="480" w:lineRule="auto"/>
        <w:jc w:val="both"/>
      </w:pPr>
      <w:r w:rsidRPr="00A56475">
        <w:t>Abbas, Tahir (2005, ed) Muslim Britain:</w:t>
      </w:r>
      <w:r w:rsidR="003A0DA1" w:rsidRPr="00A56475">
        <w:t xml:space="preserve"> </w:t>
      </w:r>
      <w:r w:rsidR="00382020" w:rsidRPr="00A56475">
        <w:t>C</w:t>
      </w:r>
      <w:r w:rsidR="003A0DA1" w:rsidRPr="00A56475">
        <w:t>ommunities</w:t>
      </w:r>
      <w:r w:rsidRPr="00A56475">
        <w:t xml:space="preserve"> Under Pressure. London and New York: Zed Books.</w:t>
      </w:r>
    </w:p>
    <w:p w:rsidR="00EE0EE7" w:rsidRPr="00A56475" w:rsidRDefault="00EE0EE7" w:rsidP="008F7BE2">
      <w:pPr>
        <w:suppressAutoHyphens w:val="0"/>
        <w:spacing w:line="480" w:lineRule="auto"/>
        <w:jc w:val="both"/>
      </w:pPr>
    </w:p>
    <w:p w:rsidR="005326D0" w:rsidRPr="00A56475" w:rsidRDefault="000C0DC5" w:rsidP="008F7BE2">
      <w:pPr>
        <w:suppressAutoHyphens w:val="0"/>
        <w:spacing w:line="480" w:lineRule="auto"/>
        <w:jc w:val="both"/>
      </w:pPr>
      <w:r w:rsidRPr="00A56475">
        <w:t>Ansari, Humayan (2004) The Infidel Within: Muslims in Britain Since 1800. London: Hurst.</w:t>
      </w:r>
    </w:p>
    <w:p w:rsidR="00515942" w:rsidRPr="00A56475" w:rsidRDefault="00515942" w:rsidP="008F7BE2">
      <w:pPr>
        <w:suppressAutoHyphens w:val="0"/>
        <w:spacing w:line="480" w:lineRule="auto"/>
        <w:jc w:val="both"/>
      </w:pPr>
    </w:p>
    <w:p w:rsidR="00515942" w:rsidRPr="00A56475" w:rsidRDefault="00515942" w:rsidP="008F7BE2">
      <w:pPr>
        <w:suppressAutoHyphens w:val="0"/>
        <w:spacing w:line="480" w:lineRule="auto"/>
        <w:jc w:val="both"/>
      </w:pPr>
      <w:r w:rsidRPr="00A56475">
        <w:t xml:space="preserve">Ameli, Saied R., Syed M. Marandi, Sameera Ahmed, Seyfeddin Kara and Arzu Merali (2007) </w:t>
      </w:r>
      <w:r w:rsidRPr="00A56475">
        <w:rPr>
          <w:iCs/>
        </w:rPr>
        <w:t>British Muslims</w:t>
      </w:r>
      <w:r w:rsidR="0003264F" w:rsidRPr="00A56475">
        <w:rPr>
          <w:iCs/>
        </w:rPr>
        <w:t>’</w:t>
      </w:r>
      <w:r w:rsidRPr="00A56475">
        <w:rPr>
          <w:iCs/>
        </w:rPr>
        <w:t xml:space="preserve"> Expectations of the Government. The British Media and Muslim Representation: The Ideology of Demonisation</w:t>
      </w:r>
      <w:r w:rsidRPr="00A56475">
        <w:t>. London: Islamic Human Rights Commission.</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t>Asia Major (19</w:t>
      </w:r>
      <w:r w:rsidR="00EA3606" w:rsidRPr="00A56475">
        <w:t xml:space="preserve">96) </w:t>
      </w:r>
      <w:r w:rsidR="0003264F" w:rsidRPr="00A56475">
        <w:t>‘</w:t>
      </w:r>
      <w:r w:rsidR="00A622E1" w:rsidRPr="00A56475">
        <w:t>Asian N</w:t>
      </w:r>
      <w:r w:rsidR="00EA3606" w:rsidRPr="00A56475">
        <w:t>ewspapers in England</w:t>
      </w:r>
      <w:r w:rsidR="0003264F" w:rsidRPr="00A56475">
        <w:t>’</w:t>
      </w:r>
      <w:r w:rsidR="00EA3606" w:rsidRPr="00A56475">
        <w:t>; at:</w:t>
      </w:r>
      <w:r w:rsidRPr="00A56475">
        <w:t xml:space="preserve"> </w:t>
      </w:r>
      <w:hyperlink r:id="rId9" w:history="1">
        <w:r w:rsidRPr="00A56475">
          <w:rPr>
            <w:rStyle w:val="Hyperlink"/>
          </w:rPr>
          <w:t>http://asia-major.com/Reviews/TRK/asianmedia.html</w:t>
        </w:r>
      </w:hyperlink>
      <w:r w:rsidRPr="00A56475">
        <w:t xml:space="preserve"> </w:t>
      </w:r>
      <w:r w:rsidR="00546C11" w:rsidRPr="00A56475">
        <w:t>(</w:t>
      </w:r>
      <w:r w:rsidRPr="00A56475">
        <w:t xml:space="preserve">accessed </w:t>
      </w:r>
      <w:r w:rsidR="00546C11" w:rsidRPr="00A56475">
        <w:t xml:space="preserve">5 March </w:t>
      </w:r>
      <w:r w:rsidRPr="00A56475">
        <w:t>2009</w:t>
      </w:r>
      <w:r w:rsidR="00546C11" w:rsidRPr="00A56475">
        <w:t>)</w:t>
      </w:r>
      <w:r w:rsidRPr="00A56475">
        <w:t>.</w:t>
      </w:r>
    </w:p>
    <w:p w:rsidR="003A0814" w:rsidRPr="00A56475" w:rsidRDefault="003A0814" w:rsidP="008F7BE2">
      <w:pPr>
        <w:suppressAutoHyphens w:val="0"/>
        <w:spacing w:line="480" w:lineRule="auto"/>
        <w:jc w:val="both"/>
      </w:pPr>
    </w:p>
    <w:p w:rsidR="003A0814" w:rsidRPr="00A56475" w:rsidRDefault="003A0814" w:rsidP="008F7BE2">
      <w:pPr>
        <w:suppressAutoHyphens w:val="0"/>
        <w:spacing w:line="480" w:lineRule="auto"/>
        <w:jc w:val="both"/>
      </w:pPr>
      <w:r w:rsidRPr="00A56475">
        <w:t>Baker, Stephen (2005) ‘The Alternative Press in Northern Ireland and the Politic</w:t>
      </w:r>
      <w:r w:rsidR="000108A8" w:rsidRPr="00A56475">
        <w:t>al Process’, Journalism Studies</w:t>
      </w:r>
      <w:r w:rsidRPr="00A56475">
        <w:t xml:space="preserve"> 6(3): 375-86.</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rPr>
          <w:color w:val="000000"/>
        </w:rPr>
        <w:lastRenderedPageBreak/>
        <w:t>Ballard, Roger (2007)</w:t>
      </w:r>
      <w:r w:rsidR="00A622E1" w:rsidRPr="00A56475">
        <w:rPr>
          <w:color w:val="000000"/>
        </w:rPr>
        <w:t xml:space="preserve"> </w:t>
      </w:r>
      <w:r w:rsidR="0003264F" w:rsidRPr="00A56475">
        <w:rPr>
          <w:color w:val="000000"/>
        </w:rPr>
        <w:t>‘</w:t>
      </w:r>
      <w:r w:rsidR="00A622E1" w:rsidRPr="00A56475">
        <w:rPr>
          <w:color w:val="000000"/>
        </w:rPr>
        <w:t>Living With Difference: A Forgotten Art in Urgent Need of R</w:t>
      </w:r>
      <w:r w:rsidRPr="00A56475">
        <w:rPr>
          <w:color w:val="000000"/>
        </w:rPr>
        <w:t>evival?</w:t>
      </w:r>
      <w:r w:rsidR="0003264F" w:rsidRPr="00A56475">
        <w:rPr>
          <w:color w:val="000000"/>
        </w:rPr>
        <w:t>’</w:t>
      </w:r>
      <w:r w:rsidR="00A622E1" w:rsidRPr="00A56475">
        <w:rPr>
          <w:color w:val="000000"/>
        </w:rPr>
        <w:t xml:space="preserve">, pp. </w:t>
      </w:r>
      <w:r w:rsidR="00A622E1" w:rsidRPr="00A56475">
        <w:t>265-301</w:t>
      </w:r>
      <w:r w:rsidRPr="00A56475">
        <w:rPr>
          <w:color w:val="000000"/>
        </w:rPr>
        <w:t xml:space="preserve"> </w:t>
      </w:r>
      <w:r w:rsidR="00A622E1" w:rsidRPr="00A56475">
        <w:rPr>
          <w:color w:val="000000"/>
        </w:rPr>
        <w:t>i</w:t>
      </w:r>
      <w:r w:rsidR="000635BC" w:rsidRPr="00A56475">
        <w:rPr>
          <w:color w:val="000000"/>
        </w:rPr>
        <w:t>n</w:t>
      </w:r>
      <w:r w:rsidRPr="00A56475">
        <w:rPr>
          <w:color w:val="000000"/>
        </w:rPr>
        <w:t xml:space="preserve"> </w:t>
      </w:r>
      <w:r w:rsidR="001D2F6D" w:rsidRPr="00A56475">
        <w:rPr>
          <w:color w:val="000000"/>
        </w:rPr>
        <w:t xml:space="preserve">J.R. </w:t>
      </w:r>
      <w:r w:rsidRPr="00A56475">
        <w:rPr>
          <w:color w:val="000000"/>
        </w:rPr>
        <w:t xml:space="preserve">Hinnels (ed) </w:t>
      </w:r>
      <w:r w:rsidRPr="00A56475">
        <w:t xml:space="preserve">Religious Reconstruction in the South Asian Diasporas: From </w:t>
      </w:r>
      <w:r w:rsidR="00382020" w:rsidRPr="00A56475">
        <w:t>O</w:t>
      </w:r>
      <w:r w:rsidRPr="00A56475">
        <w:t xml:space="preserve">ne </w:t>
      </w:r>
      <w:r w:rsidR="00B2134D" w:rsidRPr="00A56475">
        <w:t>G</w:t>
      </w:r>
      <w:r w:rsidRPr="00A56475">
        <w:t xml:space="preserve">eneration to </w:t>
      </w:r>
      <w:r w:rsidR="00B2134D" w:rsidRPr="00A56475">
        <w:t>A</w:t>
      </w:r>
      <w:r w:rsidRPr="00A56475">
        <w:t xml:space="preserve">nother. </w:t>
      </w:r>
      <w:r w:rsidR="00A622E1" w:rsidRPr="00A56475">
        <w:t>Basingstoke: Palgrave Macmillan</w:t>
      </w:r>
      <w:r w:rsidRPr="00A56475">
        <w:t>.</w:t>
      </w:r>
    </w:p>
    <w:p w:rsidR="007501AF" w:rsidRPr="00A56475" w:rsidRDefault="007501AF" w:rsidP="008F7BE2">
      <w:pPr>
        <w:suppressAutoHyphens w:val="0"/>
        <w:spacing w:line="480" w:lineRule="auto"/>
        <w:jc w:val="both"/>
      </w:pPr>
    </w:p>
    <w:p w:rsidR="007501AF" w:rsidRPr="00A56475" w:rsidRDefault="007501AF" w:rsidP="008F7BE2">
      <w:pPr>
        <w:suppressAutoHyphens w:val="0"/>
        <w:spacing w:line="480" w:lineRule="auto"/>
        <w:jc w:val="both"/>
      </w:pPr>
      <w:r w:rsidRPr="00A56475">
        <w:t xml:space="preserve">BBC (1993) </w:t>
      </w:r>
      <w:r w:rsidR="0003264F" w:rsidRPr="00A56475">
        <w:t>‘</w:t>
      </w:r>
      <w:r w:rsidRPr="00A56475">
        <w:t>BBC, Style Guide, 1993, Section 15</w:t>
      </w:r>
      <w:r w:rsidR="0003264F" w:rsidRPr="00A56475">
        <w:t>’</w:t>
      </w:r>
      <w:r w:rsidRPr="00A56475">
        <w:t>, pp. 142-4 in B. Rollston and D. Miller (1996, eds) War and Words: The Northern Ireland Media Reader. Belfast: Beyond the Pale Publications.</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t>Beresford, David (1991) Ten Men Dead: The Story of the 1981 Irish Hunger Strike. London: HarperCollins.</w:t>
      </w:r>
    </w:p>
    <w:p w:rsidR="00E6753C" w:rsidRPr="00A56475" w:rsidRDefault="00E6753C" w:rsidP="008F7BE2">
      <w:pPr>
        <w:suppressAutoHyphens w:val="0"/>
        <w:spacing w:line="480" w:lineRule="auto"/>
        <w:jc w:val="both"/>
      </w:pPr>
    </w:p>
    <w:p w:rsidR="00244B70" w:rsidRPr="00A56475" w:rsidRDefault="00244B70" w:rsidP="008F7BE2">
      <w:pPr>
        <w:suppressAutoHyphens w:val="0"/>
        <w:spacing w:line="480" w:lineRule="auto"/>
        <w:jc w:val="both"/>
        <w:rPr>
          <w:color w:val="000000"/>
        </w:rPr>
      </w:pPr>
      <w:r w:rsidRPr="00A56475">
        <w:rPr>
          <w:rStyle w:val="A1"/>
          <w:sz w:val="24"/>
          <w:szCs w:val="24"/>
        </w:rPr>
        <w:t>Blick, Andrew</w:t>
      </w:r>
      <w:r w:rsidR="00E76A1D" w:rsidRPr="00A56475">
        <w:rPr>
          <w:rStyle w:val="A1"/>
          <w:sz w:val="24"/>
          <w:szCs w:val="24"/>
        </w:rPr>
        <w:t>, Tufyal Choudhury</w:t>
      </w:r>
      <w:r w:rsidRPr="00A56475">
        <w:rPr>
          <w:rStyle w:val="A1"/>
          <w:sz w:val="24"/>
          <w:szCs w:val="24"/>
        </w:rPr>
        <w:t xml:space="preserve"> </w:t>
      </w:r>
      <w:r w:rsidR="00E76A1D" w:rsidRPr="00A56475">
        <w:rPr>
          <w:rStyle w:val="A1"/>
          <w:sz w:val="24"/>
          <w:szCs w:val="24"/>
        </w:rPr>
        <w:t>and</w:t>
      </w:r>
      <w:r w:rsidRPr="00A56475">
        <w:rPr>
          <w:rStyle w:val="A1"/>
          <w:sz w:val="24"/>
          <w:szCs w:val="24"/>
        </w:rPr>
        <w:t xml:space="preserve"> </w:t>
      </w:r>
      <w:r w:rsidR="00E76A1D" w:rsidRPr="00A56475">
        <w:rPr>
          <w:rStyle w:val="A1"/>
          <w:sz w:val="24"/>
          <w:szCs w:val="24"/>
        </w:rPr>
        <w:t xml:space="preserve">Stuart </w:t>
      </w:r>
      <w:r w:rsidRPr="00A56475">
        <w:rPr>
          <w:rStyle w:val="A1"/>
          <w:sz w:val="24"/>
          <w:szCs w:val="24"/>
        </w:rPr>
        <w:t xml:space="preserve">Weir (2006) The Rules of the Game: Terrorism, Community and Human Rights. </w:t>
      </w:r>
      <w:r w:rsidRPr="00A56475">
        <w:rPr>
          <w:color w:val="000000"/>
        </w:rPr>
        <w:t>A Report by Democratic Audit, Human Rights Centre, University Of Essex for the Joseph Rowntree Reform Trust. York: Joseph Rowntree Reform Trust.</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t xml:space="preserve">Briggs, Rachel, </w:t>
      </w:r>
      <w:r w:rsidR="00E76A1D" w:rsidRPr="00A56475">
        <w:t xml:space="preserve">Catherine </w:t>
      </w:r>
      <w:r w:rsidRPr="00A56475">
        <w:t xml:space="preserve">Fieschi </w:t>
      </w:r>
      <w:r w:rsidR="00E76A1D" w:rsidRPr="00A56475">
        <w:t>and</w:t>
      </w:r>
      <w:r w:rsidRPr="00A56475">
        <w:t xml:space="preserve"> </w:t>
      </w:r>
      <w:r w:rsidR="00E76A1D" w:rsidRPr="00A56475">
        <w:t xml:space="preserve">Hannah </w:t>
      </w:r>
      <w:r w:rsidRPr="00A56475">
        <w:t>Lownsbrough (2006) Bringing it Home. Community-based Approaches to Counterterrorism. London: Demos.</w:t>
      </w:r>
    </w:p>
    <w:p w:rsidR="002C4655" w:rsidRPr="00A56475" w:rsidRDefault="002C4655" w:rsidP="008F7BE2">
      <w:pPr>
        <w:suppressAutoHyphens w:val="0"/>
        <w:spacing w:line="480" w:lineRule="auto"/>
        <w:jc w:val="both"/>
      </w:pPr>
    </w:p>
    <w:p w:rsidR="002C4655" w:rsidRPr="00A56475" w:rsidRDefault="002C4655" w:rsidP="008F7BE2">
      <w:pPr>
        <w:suppressAutoHyphens w:val="0"/>
        <w:spacing w:line="480" w:lineRule="auto"/>
        <w:jc w:val="both"/>
      </w:pPr>
      <w:r w:rsidRPr="00A56475">
        <w:t xml:space="preserve">Brighton, Shane (2007) </w:t>
      </w:r>
      <w:r w:rsidR="0003264F" w:rsidRPr="00A56475">
        <w:t>‘</w:t>
      </w:r>
      <w:r w:rsidRPr="00A56475">
        <w:t>British Muslims, Multiculturalism and UK Foreign Policy: “Integration” and “Cohesion” in and Beyond the State</w:t>
      </w:r>
      <w:r w:rsidR="0003264F" w:rsidRPr="00A56475">
        <w:t>’</w:t>
      </w:r>
      <w:r w:rsidR="000108A8" w:rsidRPr="00A56475">
        <w:t>, International Affairs</w:t>
      </w:r>
      <w:r w:rsidRPr="00A56475">
        <w:t xml:space="preserve"> 83(1): 1–17.</w:t>
      </w:r>
    </w:p>
    <w:p w:rsidR="00FF4FC4" w:rsidRPr="00A56475" w:rsidRDefault="00FF4FC4" w:rsidP="008F7BE2">
      <w:pPr>
        <w:suppressAutoHyphens w:val="0"/>
        <w:spacing w:line="480" w:lineRule="auto"/>
        <w:jc w:val="both"/>
      </w:pPr>
    </w:p>
    <w:p w:rsidR="00FF4FC4" w:rsidRPr="00A56475" w:rsidRDefault="00FF4FC4" w:rsidP="008F7BE2">
      <w:pPr>
        <w:suppressAutoHyphens w:val="0"/>
        <w:spacing w:line="480" w:lineRule="auto"/>
        <w:jc w:val="both"/>
      </w:pPr>
      <w:r w:rsidRPr="00A56475">
        <w:lastRenderedPageBreak/>
        <w:t xml:space="preserve">Brown, Malcolm D. (2006) </w:t>
      </w:r>
      <w:r w:rsidR="0003264F" w:rsidRPr="00A56475">
        <w:t>‘</w:t>
      </w:r>
      <w:r w:rsidRPr="00A56475">
        <w:t>Comparative Analysis of Mainstream Discourses, Media Narratives and Representations of Islam in Britain and France Prior to 9/11</w:t>
      </w:r>
      <w:r w:rsidR="0003264F" w:rsidRPr="00A56475">
        <w:t>’</w:t>
      </w:r>
      <w:r w:rsidRPr="00A56475">
        <w:t>, Jou</w:t>
      </w:r>
      <w:r w:rsidR="000108A8" w:rsidRPr="00A56475">
        <w:t>rnal of Muslim Minority Affairs</w:t>
      </w:r>
      <w:r w:rsidRPr="00A56475">
        <w:t xml:space="preserve"> 26(3): 297–312.</w:t>
      </w:r>
    </w:p>
    <w:p w:rsidR="004A241B" w:rsidRPr="00A56475" w:rsidRDefault="004A241B" w:rsidP="008F7BE2">
      <w:pPr>
        <w:suppressAutoHyphens w:val="0"/>
        <w:spacing w:line="480" w:lineRule="auto"/>
        <w:jc w:val="both"/>
      </w:pPr>
    </w:p>
    <w:p w:rsidR="00FF4FC4" w:rsidRPr="00A56475" w:rsidRDefault="00382020" w:rsidP="008F7BE2">
      <w:pPr>
        <w:suppressAutoHyphens w:val="0"/>
        <w:spacing w:line="480" w:lineRule="auto"/>
        <w:jc w:val="both"/>
      </w:pPr>
      <w:r w:rsidRPr="00A56475">
        <w:t>Cesari, Jocelyne (</w:t>
      </w:r>
      <w:r w:rsidR="00FF4FC4" w:rsidRPr="00A56475">
        <w:t>2006</w:t>
      </w:r>
      <w:r w:rsidRPr="00A56475">
        <w:t>, ed</w:t>
      </w:r>
      <w:r w:rsidR="00FF4FC4" w:rsidRPr="00A56475">
        <w:t>) Securitization and Religi</w:t>
      </w:r>
      <w:r w:rsidR="006A583A">
        <w:t>ous Divides in Europe. Muslims i</w:t>
      </w:r>
      <w:r w:rsidR="00FF4FC4" w:rsidRPr="00A56475">
        <w:t xml:space="preserve">n Western Europe After 9/11: Why the term Islamophobia is </w:t>
      </w:r>
      <w:r w:rsidR="004A2B9F" w:rsidRPr="00A56475">
        <w:t>M</w:t>
      </w:r>
      <w:r w:rsidR="00FF4FC4" w:rsidRPr="00A56475">
        <w:t xml:space="preserve">ore a </w:t>
      </w:r>
      <w:r w:rsidR="004A2B9F" w:rsidRPr="00A56475">
        <w:t>P</w:t>
      </w:r>
      <w:r w:rsidR="00FF4FC4" w:rsidRPr="00A56475">
        <w:t xml:space="preserve">redicament than an </w:t>
      </w:r>
      <w:r w:rsidR="004A2B9F" w:rsidRPr="00A56475">
        <w:t>E</w:t>
      </w:r>
      <w:r w:rsidR="00FF4FC4" w:rsidRPr="00A56475">
        <w:t xml:space="preserve">xplanation. Submission to the Changing Landscape of Citizenship and Security, 6th PCRD of European Commission; at </w:t>
      </w:r>
      <w:hyperlink r:id="rId10" w:history="1">
        <w:r w:rsidR="00FF4FC4" w:rsidRPr="00A56475">
          <w:rPr>
            <w:rStyle w:val="Hyperlink"/>
          </w:rPr>
          <w:t>www.libertysecurity.org/IMG/pdf_Challenge_Project_report.pdf</w:t>
        </w:r>
      </w:hyperlink>
      <w:r w:rsidR="00FF4FC4" w:rsidRPr="00A56475">
        <w:t xml:space="preserve"> (accessed 19 March 2010).</w:t>
      </w:r>
    </w:p>
    <w:p w:rsidR="0055304D" w:rsidRPr="00A56475" w:rsidRDefault="0055304D" w:rsidP="008F7BE2">
      <w:pPr>
        <w:suppressAutoHyphens w:val="0"/>
        <w:spacing w:line="480" w:lineRule="auto"/>
        <w:jc w:val="both"/>
      </w:pPr>
    </w:p>
    <w:p w:rsidR="00244B70" w:rsidRPr="00A56475" w:rsidRDefault="00244B70" w:rsidP="008F7BE2">
      <w:pPr>
        <w:suppressAutoHyphens w:val="0"/>
        <w:spacing w:line="480" w:lineRule="auto"/>
        <w:jc w:val="both"/>
      </w:pPr>
      <w:r w:rsidRPr="00A56475">
        <w:t xml:space="preserve">Clutterbuck, Lindsay (2006) </w:t>
      </w:r>
      <w:r w:rsidR="0003264F" w:rsidRPr="00A56475">
        <w:t>‘</w:t>
      </w:r>
      <w:r w:rsidRPr="00A56475">
        <w:t xml:space="preserve">Countering </w:t>
      </w:r>
      <w:r w:rsidRPr="00A56475">
        <w:rPr>
          <w:rStyle w:val="highlight"/>
        </w:rPr>
        <w:t>Irish</w:t>
      </w:r>
      <w:r w:rsidRPr="00A56475">
        <w:t xml:space="preserve"> </w:t>
      </w:r>
      <w:r w:rsidR="00E76A1D" w:rsidRPr="00A56475">
        <w:t>Republican Terrorism in Britain: Its Origin as a Police F</w:t>
      </w:r>
      <w:r w:rsidRPr="00A56475">
        <w:t>unction</w:t>
      </w:r>
      <w:r w:rsidR="0003264F" w:rsidRPr="00A56475">
        <w:t>’</w:t>
      </w:r>
      <w:r w:rsidRPr="00A56475">
        <w:t>, T</w:t>
      </w:r>
      <w:r w:rsidR="000108A8" w:rsidRPr="00A56475">
        <w:t>errorism and Political Violence</w:t>
      </w:r>
      <w:r w:rsidRPr="00A56475">
        <w:t xml:space="preserve"> 18(1): 95-118.</w:t>
      </w:r>
    </w:p>
    <w:p w:rsidR="00B80956" w:rsidRPr="00A56475" w:rsidRDefault="00B80956" w:rsidP="008F7BE2">
      <w:pPr>
        <w:suppressAutoHyphens w:val="0"/>
        <w:spacing w:line="480" w:lineRule="auto"/>
        <w:jc w:val="both"/>
      </w:pPr>
    </w:p>
    <w:p w:rsidR="00B80956" w:rsidRPr="00A56475" w:rsidRDefault="00B80956" w:rsidP="008F7BE2">
      <w:pPr>
        <w:suppressAutoHyphens w:val="0"/>
        <w:spacing w:line="480" w:lineRule="auto"/>
        <w:jc w:val="both"/>
      </w:pPr>
      <w:r w:rsidRPr="00A56475">
        <w:t xml:space="preserve">Cram, Ian (2006) </w:t>
      </w:r>
      <w:r w:rsidR="0003264F" w:rsidRPr="00A56475">
        <w:t>‘</w:t>
      </w:r>
      <w:r w:rsidRPr="00A56475">
        <w:t>Regulating the Media: Some Neglected Freedom of Expression Issues in the United Kingdom</w:t>
      </w:r>
      <w:r w:rsidR="0003264F" w:rsidRPr="00A56475">
        <w:t>’</w:t>
      </w:r>
      <w:r w:rsidRPr="00A56475">
        <w:t>s Counter-Terrorism Strategy</w:t>
      </w:r>
      <w:r w:rsidR="0003264F" w:rsidRPr="00A56475">
        <w:t>’</w:t>
      </w:r>
      <w:r w:rsidRPr="00A56475">
        <w:t>, T</w:t>
      </w:r>
      <w:r w:rsidR="000108A8" w:rsidRPr="00A56475">
        <w:t>errorism and Political Violence</w:t>
      </w:r>
      <w:r w:rsidRPr="00A56475">
        <w:t xml:space="preserve"> 18(2): 335-355.</w:t>
      </w:r>
    </w:p>
    <w:p w:rsidR="00484A71" w:rsidRPr="00A56475" w:rsidRDefault="00484A71" w:rsidP="008F7BE2">
      <w:pPr>
        <w:suppressAutoHyphens w:val="0"/>
        <w:spacing w:line="480" w:lineRule="auto"/>
        <w:jc w:val="both"/>
      </w:pPr>
    </w:p>
    <w:p w:rsidR="00853E09" w:rsidRPr="00A56475" w:rsidRDefault="00853E09" w:rsidP="008F7BE2">
      <w:pPr>
        <w:suppressAutoHyphens w:val="0"/>
        <w:spacing w:line="480" w:lineRule="auto"/>
        <w:jc w:val="both"/>
      </w:pPr>
      <w:r w:rsidRPr="00A56475">
        <w:t>Curtis</w:t>
      </w:r>
      <w:r w:rsidR="001F46E6" w:rsidRPr="00A56475">
        <w:t>,</w:t>
      </w:r>
      <w:r w:rsidRPr="00A56475">
        <w:t xml:space="preserve"> Lewis P.</w:t>
      </w:r>
      <w:r w:rsidR="008F2FBF" w:rsidRPr="00A56475">
        <w:t xml:space="preserve"> Jr.</w:t>
      </w:r>
      <w:r w:rsidRPr="00A56475">
        <w:t xml:space="preserve"> (1997) Apes and Angels: The Irishman in Victorian Caricature – Revised Edition. Washington and London: Smithsonian Institution Press.</w:t>
      </w:r>
    </w:p>
    <w:p w:rsidR="00853E09" w:rsidRPr="00A56475" w:rsidRDefault="00853E09" w:rsidP="008F7BE2">
      <w:pPr>
        <w:suppressAutoHyphens w:val="0"/>
        <w:spacing w:line="480" w:lineRule="auto"/>
        <w:jc w:val="both"/>
      </w:pPr>
    </w:p>
    <w:p w:rsidR="00484A71" w:rsidRPr="00A56475" w:rsidRDefault="00484A71" w:rsidP="008F7BE2">
      <w:pPr>
        <w:suppressAutoHyphens w:val="0"/>
        <w:spacing w:line="480" w:lineRule="auto"/>
        <w:jc w:val="both"/>
      </w:pPr>
      <w:r w:rsidRPr="00A56475">
        <w:t>Curtis, Liz (1998) Ireland: The Propaganda War – The British Media and the “Battle for Hearts and Minds”</w:t>
      </w:r>
      <w:r w:rsidR="004942CA" w:rsidRPr="00A56475">
        <w:t>.</w:t>
      </w:r>
      <w:r w:rsidR="00B56F88" w:rsidRPr="00A56475">
        <w:t xml:space="preserve"> </w:t>
      </w:r>
      <w:r w:rsidR="004942CA" w:rsidRPr="00A56475">
        <w:t>Belfast: Sásta.</w:t>
      </w:r>
    </w:p>
    <w:p w:rsidR="00632F23" w:rsidRPr="00A56475" w:rsidRDefault="00632F23" w:rsidP="008F7BE2">
      <w:pPr>
        <w:suppressAutoHyphens w:val="0"/>
        <w:spacing w:line="480" w:lineRule="auto"/>
        <w:jc w:val="both"/>
      </w:pPr>
    </w:p>
    <w:p w:rsidR="00632F23" w:rsidRPr="00A56475" w:rsidRDefault="00632F23" w:rsidP="008F7BE2">
      <w:pPr>
        <w:suppressAutoHyphens w:val="0"/>
        <w:spacing w:line="480" w:lineRule="auto"/>
        <w:jc w:val="both"/>
      </w:pPr>
      <w:r w:rsidRPr="00A56475">
        <w:t>de Nie, Michael (2001) ‘“A Medley Mob of Irish-American Plotters and Irish Dupes”: The British Press and Transatlantic Feiniani</w:t>
      </w:r>
      <w:r w:rsidR="000108A8" w:rsidRPr="00A56475">
        <w:t>sm’, Journal of British Studies</w:t>
      </w:r>
      <w:r w:rsidRPr="00A56475">
        <w:t xml:space="preserve"> 40: 213-40.</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t xml:space="preserve">Dor, Daniel (2003) </w:t>
      </w:r>
      <w:r w:rsidR="0003264F" w:rsidRPr="00A56475">
        <w:t>‘</w:t>
      </w:r>
      <w:r w:rsidR="002E00A8" w:rsidRPr="00A56475">
        <w:t>On Newspaper Headlines as Relevance O</w:t>
      </w:r>
      <w:r w:rsidRPr="00A56475">
        <w:t>ptimizers</w:t>
      </w:r>
      <w:r w:rsidR="0003264F" w:rsidRPr="00A56475">
        <w:t>’</w:t>
      </w:r>
      <w:r w:rsidR="00A2329B">
        <w:t>,</w:t>
      </w:r>
      <w:r w:rsidR="000108A8" w:rsidRPr="00A56475">
        <w:t xml:space="preserve"> Journal of Pragmatics</w:t>
      </w:r>
      <w:r w:rsidRPr="00A56475">
        <w:t xml:space="preserve"> 35: 695-721.</w:t>
      </w:r>
    </w:p>
    <w:p w:rsidR="004A241B" w:rsidRPr="00A56475" w:rsidRDefault="004A241B" w:rsidP="008F7BE2">
      <w:pPr>
        <w:suppressAutoHyphens w:val="0"/>
        <w:spacing w:line="480" w:lineRule="auto"/>
        <w:jc w:val="both"/>
      </w:pPr>
    </w:p>
    <w:p w:rsidR="00A46653" w:rsidRPr="00A56475" w:rsidRDefault="00A46653" w:rsidP="008F7BE2">
      <w:pPr>
        <w:suppressAutoHyphens w:val="0"/>
        <w:spacing w:line="480" w:lineRule="auto"/>
        <w:jc w:val="both"/>
      </w:pPr>
      <w:r w:rsidRPr="00A56475">
        <w:t xml:space="preserve">Eatwell, Roger (2006) </w:t>
      </w:r>
      <w:r w:rsidR="0003264F" w:rsidRPr="00A56475">
        <w:t>‘</w:t>
      </w:r>
      <w:r w:rsidRPr="00A56475">
        <w:t>Community Cohesion and Cumulative Extremism in Contemporary Britain</w:t>
      </w:r>
      <w:r w:rsidR="0003264F" w:rsidRPr="00A56475">
        <w:t>’</w:t>
      </w:r>
      <w:r w:rsidRPr="00A56475">
        <w:t>, Political Quarterly 77(2): 204-16.</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rPr>
          <w:bCs/>
        </w:rPr>
      </w:pPr>
      <w:r w:rsidRPr="00A56475">
        <w:rPr>
          <w:bCs/>
        </w:rPr>
        <w:t>English, Richard (2003) Armed Struggle: The History of the IRA</w:t>
      </w:r>
      <w:r w:rsidR="00096AC2" w:rsidRPr="00A56475">
        <w:rPr>
          <w:bCs/>
        </w:rPr>
        <w:t>.</w:t>
      </w:r>
      <w:r w:rsidRPr="00A56475">
        <w:rPr>
          <w:bCs/>
        </w:rPr>
        <w:t xml:space="preserve"> London: Pan Books.</w:t>
      </w:r>
    </w:p>
    <w:p w:rsidR="00D24FB7" w:rsidRPr="00A56475" w:rsidRDefault="00D24FB7" w:rsidP="008F7BE2">
      <w:pPr>
        <w:suppressAutoHyphens w:val="0"/>
        <w:spacing w:line="480" w:lineRule="auto"/>
        <w:jc w:val="both"/>
        <w:rPr>
          <w:bCs/>
        </w:rPr>
      </w:pPr>
    </w:p>
    <w:p w:rsidR="00D24FB7" w:rsidRPr="00A56475" w:rsidRDefault="00D24FB7" w:rsidP="008F7BE2">
      <w:pPr>
        <w:suppressAutoHyphens w:val="0"/>
        <w:spacing w:line="480" w:lineRule="auto"/>
        <w:jc w:val="both"/>
        <w:rPr>
          <w:bCs/>
        </w:rPr>
      </w:pPr>
      <w:r w:rsidRPr="00A56475">
        <w:rPr>
          <w:bCs/>
        </w:rPr>
        <w:t>Esposito, John L. (1995) The Islamic Threat: Myth or Reality? New York and Oxford: Oxford University Press.</w:t>
      </w:r>
    </w:p>
    <w:p w:rsidR="000A08EA" w:rsidRPr="00A56475" w:rsidRDefault="000A08EA" w:rsidP="008F7BE2">
      <w:pPr>
        <w:suppressAutoHyphens w:val="0"/>
        <w:spacing w:line="480" w:lineRule="auto"/>
        <w:jc w:val="both"/>
        <w:rPr>
          <w:bCs/>
        </w:rPr>
      </w:pPr>
    </w:p>
    <w:p w:rsidR="000A08EA" w:rsidRPr="00A56475" w:rsidRDefault="000A08EA" w:rsidP="008F7BE2">
      <w:pPr>
        <w:suppressAutoHyphens w:val="0"/>
        <w:spacing w:line="480" w:lineRule="auto"/>
        <w:jc w:val="both"/>
        <w:rPr>
          <w:bCs/>
        </w:rPr>
      </w:pPr>
      <w:r w:rsidRPr="00A56475">
        <w:rPr>
          <w:bCs/>
        </w:rPr>
        <w:t>Flood, Christopher, Stephen Hutchings, Galina Miazhevich and Hen</w:t>
      </w:r>
      <w:r w:rsidR="004A2B9F" w:rsidRPr="00A56475">
        <w:rPr>
          <w:bCs/>
        </w:rPr>
        <w:t>ri C. Nickels (2011</w:t>
      </w:r>
      <w:r w:rsidRPr="00A56475">
        <w:rPr>
          <w:bCs/>
        </w:rPr>
        <w:t xml:space="preserve">) </w:t>
      </w:r>
      <w:r w:rsidR="0003264F" w:rsidRPr="00A56475">
        <w:rPr>
          <w:bCs/>
        </w:rPr>
        <w:t>‘</w:t>
      </w:r>
      <w:r w:rsidR="00BF2D1B" w:rsidRPr="00A56475">
        <w:rPr>
          <w:bCs/>
        </w:rPr>
        <w:t>Between Impartiality and Ideology: The BBC</w:t>
      </w:r>
      <w:r w:rsidR="0003264F" w:rsidRPr="00A56475">
        <w:rPr>
          <w:bCs/>
        </w:rPr>
        <w:t>’</w:t>
      </w:r>
      <w:r w:rsidR="00BF2D1B" w:rsidRPr="00A56475">
        <w:rPr>
          <w:bCs/>
        </w:rPr>
        <w:t>s Paradoxical Remit and the Case of Islam-related Television News</w:t>
      </w:r>
      <w:r w:rsidR="0003264F" w:rsidRPr="00A56475">
        <w:rPr>
          <w:bCs/>
        </w:rPr>
        <w:t>’</w:t>
      </w:r>
      <w:r w:rsidR="00A664A6" w:rsidRPr="00A56475">
        <w:rPr>
          <w:bCs/>
        </w:rPr>
        <w:t>, Journalism Studi</w:t>
      </w:r>
      <w:r w:rsidR="000108A8" w:rsidRPr="00A56475">
        <w:rPr>
          <w:bCs/>
        </w:rPr>
        <w:t>es</w:t>
      </w:r>
      <w:r w:rsidR="00A664A6" w:rsidRPr="00A56475">
        <w:rPr>
          <w:bCs/>
        </w:rPr>
        <w:t xml:space="preserve"> 12(2)</w:t>
      </w:r>
      <w:r w:rsidR="001F46E6" w:rsidRPr="00A56475">
        <w:rPr>
          <w:bCs/>
        </w:rPr>
        <w:t>: forthcoming.</w:t>
      </w:r>
    </w:p>
    <w:p w:rsidR="00922A9C" w:rsidRPr="00A56475" w:rsidRDefault="00922A9C" w:rsidP="008F7BE2">
      <w:pPr>
        <w:suppressAutoHyphens w:val="0"/>
        <w:spacing w:line="480" w:lineRule="auto"/>
        <w:jc w:val="both"/>
        <w:rPr>
          <w:bCs/>
        </w:rPr>
      </w:pPr>
    </w:p>
    <w:p w:rsidR="00922A9C" w:rsidRPr="00A56475" w:rsidRDefault="00922A9C" w:rsidP="008F7BE2">
      <w:pPr>
        <w:suppressAutoHyphens w:val="0"/>
        <w:spacing w:line="480" w:lineRule="auto"/>
        <w:jc w:val="both"/>
        <w:rPr>
          <w:bCs/>
        </w:rPr>
      </w:pPr>
      <w:r w:rsidRPr="00A56475">
        <w:rPr>
          <w:bCs/>
        </w:rPr>
        <w:t>Foster, Robert F. (1993) Paddy and Mr Punch: Connections in Irish and English History. London: Penguin.</w:t>
      </w:r>
    </w:p>
    <w:p w:rsidR="008F1C3B" w:rsidRPr="00A56475" w:rsidRDefault="008F1C3B" w:rsidP="008F7BE2">
      <w:pPr>
        <w:suppressAutoHyphens w:val="0"/>
        <w:spacing w:line="480" w:lineRule="auto"/>
        <w:jc w:val="both"/>
        <w:rPr>
          <w:bCs/>
        </w:rPr>
      </w:pPr>
    </w:p>
    <w:p w:rsidR="008F1C3B" w:rsidRPr="00A56475" w:rsidRDefault="008F1C3B" w:rsidP="008F7BE2">
      <w:pPr>
        <w:suppressAutoHyphens w:val="0"/>
        <w:spacing w:line="480" w:lineRule="auto"/>
        <w:jc w:val="both"/>
        <w:rPr>
          <w:bCs/>
        </w:rPr>
      </w:pPr>
      <w:r w:rsidRPr="00A56475">
        <w:rPr>
          <w:bCs/>
        </w:rPr>
        <w:lastRenderedPageBreak/>
        <w:t>Fulton, John (1991) The Tragedy of Belief: Division, Politics, and Religion in Ireland. Oxford: Clarendon Press.</w:t>
      </w:r>
    </w:p>
    <w:p w:rsidR="000C17CD" w:rsidRPr="00A56475" w:rsidRDefault="000C17CD" w:rsidP="008F7BE2">
      <w:pPr>
        <w:suppressAutoHyphens w:val="0"/>
        <w:spacing w:line="480" w:lineRule="auto"/>
        <w:jc w:val="both"/>
        <w:rPr>
          <w:bCs/>
        </w:rPr>
      </w:pPr>
    </w:p>
    <w:p w:rsidR="000C17CD" w:rsidRPr="00A56475" w:rsidRDefault="000C17CD" w:rsidP="008F7BE2">
      <w:pPr>
        <w:suppressAutoHyphens w:val="0"/>
        <w:spacing w:line="480" w:lineRule="auto"/>
        <w:jc w:val="both"/>
        <w:rPr>
          <w:bCs/>
        </w:rPr>
      </w:pPr>
      <w:r w:rsidRPr="00A56475">
        <w:rPr>
          <w:bCs/>
        </w:rPr>
        <w:t xml:space="preserve">Greer, Steven (2008) </w:t>
      </w:r>
      <w:r w:rsidR="0003264F" w:rsidRPr="00A56475">
        <w:rPr>
          <w:bCs/>
        </w:rPr>
        <w:t>‘</w:t>
      </w:r>
      <w:r w:rsidRPr="00A56475">
        <w:rPr>
          <w:bCs/>
        </w:rPr>
        <w:t>Human Rights and the Struggle Against Terrorism in the United Kingdom</w:t>
      </w:r>
      <w:r w:rsidR="0003264F" w:rsidRPr="00A56475">
        <w:rPr>
          <w:bCs/>
        </w:rPr>
        <w:t>’</w:t>
      </w:r>
      <w:r w:rsidRPr="00A56475">
        <w:rPr>
          <w:bCs/>
        </w:rPr>
        <w:t>, E</w:t>
      </w:r>
      <w:r w:rsidR="000108A8" w:rsidRPr="00A56475">
        <w:rPr>
          <w:bCs/>
        </w:rPr>
        <w:t>uropean Human Rights Law Review</w:t>
      </w:r>
      <w:r w:rsidRPr="00A56475">
        <w:rPr>
          <w:bCs/>
        </w:rPr>
        <w:t xml:space="preserve"> 2: 163-81.</w:t>
      </w:r>
    </w:p>
    <w:p w:rsidR="00B47382" w:rsidRPr="00A56475" w:rsidRDefault="00B47382" w:rsidP="008F7BE2">
      <w:pPr>
        <w:suppressAutoHyphens w:val="0"/>
        <w:spacing w:line="480" w:lineRule="auto"/>
        <w:jc w:val="both"/>
        <w:rPr>
          <w:bCs/>
        </w:rPr>
      </w:pPr>
    </w:p>
    <w:p w:rsidR="00BD781E" w:rsidRPr="00A56475" w:rsidRDefault="00BD781E" w:rsidP="008F7BE2">
      <w:pPr>
        <w:suppressAutoHyphens w:val="0"/>
        <w:spacing w:line="480" w:lineRule="auto"/>
        <w:jc w:val="both"/>
      </w:pPr>
      <w:r w:rsidRPr="00A56475">
        <w:t>Halliday, Fred (2003) Islam and the Myth of Confrontation: Religion and Politics in the Middle East. London: I.B. Tauris.</w:t>
      </w:r>
    </w:p>
    <w:p w:rsidR="00381DCE" w:rsidRPr="00A56475" w:rsidRDefault="00381DCE" w:rsidP="008F7BE2">
      <w:pPr>
        <w:suppressAutoHyphens w:val="0"/>
        <w:spacing w:line="480" w:lineRule="auto"/>
        <w:jc w:val="both"/>
      </w:pPr>
    </w:p>
    <w:p w:rsidR="00244B70" w:rsidRPr="00A56475" w:rsidRDefault="00244B70" w:rsidP="008F7BE2">
      <w:pPr>
        <w:suppressAutoHyphens w:val="0"/>
        <w:spacing w:line="480" w:lineRule="auto"/>
        <w:jc w:val="both"/>
        <w:rPr>
          <w:bCs/>
        </w:rPr>
      </w:pPr>
      <w:r w:rsidRPr="00A56475">
        <w:rPr>
          <w:bCs/>
        </w:rPr>
        <w:t xml:space="preserve">Hickman, Mary </w:t>
      </w:r>
      <w:r w:rsidR="006D4F39" w:rsidRPr="00A56475">
        <w:rPr>
          <w:bCs/>
        </w:rPr>
        <w:t xml:space="preserve">J. </w:t>
      </w:r>
      <w:r w:rsidR="00E76A1D" w:rsidRPr="00A56475">
        <w:rPr>
          <w:bCs/>
        </w:rPr>
        <w:t>and</w:t>
      </w:r>
      <w:r w:rsidR="00096AC2" w:rsidRPr="00A56475">
        <w:rPr>
          <w:bCs/>
        </w:rPr>
        <w:t xml:space="preserve"> Bronwen Walter</w:t>
      </w:r>
      <w:r w:rsidRPr="00A56475">
        <w:rPr>
          <w:bCs/>
        </w:rPr>
        <w:t xml:space="preserve"> (1997) </w:t>
      </w:r>
      <w:r w:rsidR="00096AC2" w:rsidRPr="00A56475">
        <w:rPr>
          <w:bCs/>
        </w:rPr>
        <w:t>Discrimination and Irish</w:t>
      </w:r>
      <w:r w:rsidR="00802F62" w:rsidRPr="00A56475">
        <w:rPr>
          <w:bCs/>
        </w:rPr>
        <w:t xml:space="preserve"> C</w:t>
      </w:r>
      <w:r w:rsidR="003A0DA1" w:rsidRPr="00A56475">
        <w:rPr>
          <w:bCs/>
        </w:rPr>
        <w:t>ommunities</w:t>
      </w:r>
      <w:r w:rsidRPr="00A56475">
        <w:rPr>
          <w:bCs/>
        </w:rPr>
        <w:t xml:space="preserve"> in Britain: A Report of Research Undertaken for the Commission for Racial Equality. London: Commission for Racial Equality.</w:t>
      </w:r>
    </w:p>
    <w:p w:rsidR="00335326" w:rsidRPr="00A56475" w:rsidRDefault="00335326" w:rsidP="008F7BE2">
      <w:pPr>
        <w:suppressAutoHyphens w:val="0"/>
        <w:spacing w:line="480" w:lineRule="auto"/>
        <w:jc w:val="both"/>
        <w:rPr>
          <w:bCs/>
        </w:rPr>
      </w:pPr>
    </w:p>
    <w:p w:rsidR="00335326" w:rsidRPr="00A56475" w:rsidRDefault="00335326" w:rsidP="008F7BE2">
      <w:pPr>
        <w:suppressAutoHyphens w:val="0"/>
        <w:spacing w:line="480" w:lineRule="auto"/>
        <w:jc w:val="both"/>
        <w:rPr>
          <w:bCs/>
        </w:rPr>
      </w:pPr>
      <w:r w:rsidRPr="00A56475">
        <w:rPr>
          <w:bCs/>
        </w:rPr>
        <w:t xml:space="preserve">Hickman, Mary J., Helen Crawley and Nick Mai with Umut Erel (2008) Immigration and Social Cohesion in the UK: The Rhythms and Realities of Everyday Life. York: Joseph Rowntree Foundation; at </w:t>
      </w:r>
      <w:hyperlink r:id="rId11" w:history="1">
        <w:r w:rsidRPr="00A56475">
          <w:rPr>
            <w:rStyle w:val="Hyperlink"/>
            <w:bCs/>
          </w:rPr>
          <w:t>http://www.jrf.org.uk/sites/files/jrf/2230-deprivation-cohesion-immigration.pdf</w:t>
        </w:r>
      </w:hyperlink>
      <w:r w:rsidRPr="00A56475">
        <w:rPr>
          <w:bCs/>
        </w:rPr>
        <w:t xml:space="preserve"> (accessed 24 August 2010).</w:t>
      </w:r>
    </w:p>
    <w:p w:rsidR="00244B70" w:rsidRPr="00A56475" w:rsidRDefault="00244B70" w:rsidP="008F7BE2">
      <w:pPr>
        <w:suppressAutoHyphens w:val="0"/>
        <w:spacing w:line="480" w:lineRule="auto"/>
        <w:jc w:val="both"/>
        <w:rPr>
          <w:bCs/>
        </w:rPr>
      </w:pPr>
    </w:p>
    <w:p w:rsidR="00244B70" w:rsidRPr="00A56475" w:rsidRDefault="00244B70" w:rsidP="008F7BE2">
      <w:pPr>
        <w:suppressAutoHyphens w:val="0"/>
        <w:spacing w:line="480" w:lineRule="auto"/>
        <w:jc w:val="both"/>
        <w:rPr>
          <w:bCs/>
        </w:rPr>
      </w:pPr>
      <w:r w:rsidRPr="00A56475">
        <w:rPr>
          <w:bCs/>
        </w:rPr>
        <w:t>Hillyard, Paddy (</w:t>
      </w:r>
      <w:r w:rsidR="004A2B9F" w:rsidRPr="00A56475">
        <w:rPr>
          <w:bCs/>
        </w:rPr>
        <w:t>1993) Suspect Community: People</w:t>
      </w:r>
      <w:r w:rsidR="0003264F" w:rsidRPr="00A56475">
        <w:rPr>
          <w:bCs/>
        </w:rPr>
        <w:t>’</w:t>
      </w:r>
      <w:r w:rsidRPr="00A56475">
        <w:rPr>
          <w:bCs/>
        </w:rPr>
        <w:t>s Experience of the Prevention of Terrorism Acts in Britain. London: Pluto Press in association with Liberty.</w:t>
      </w:r>
    </w:p>
    <w:p w:rsidR="00833A41" w:rsidRPr="00A56475" w:rsidRDefault="00833A41" w:rsidP="008F7BE2">
      <w:pPr>
        <w:suppressAutoHyphens w:val="0"/>
        <w:spacing w:line="480" w:lineRule="auto"/>
        <w:jc w:val="both"/>
        <w:rPr>
          <w:bCs/>
        </w:rPr>
      </w:pPr>
    </w:p>
    <w:p w:rsidR="00244B70" w:rsidRPr="00A56475" w:rsidRDefault="00244B70" w:rsidP="008F7BE2">
      <w:pPr>
        <w:suppressAutoHyphens w:val="0"/>
        <w:spacing w:line="480" w:lineRule="auto"/>
        <w:jc w:val="both"/>
        <w:rPr>
          <w:bCs/>
        </w:rPr>
      </w:pPr>
      <w:r w:rsidRPr="00A56475">
        <w:rPr>
          <w:bCs/>
        </w:rPr>
        <w:lastRenderedPageBreak/>
        <w:t>Home Office (2009</w:t>
      </w:r>
      <w:r w:rsidR="00EA3606" w:rsidRPr="00A56475">
        <w:rPr>
          <w:bCs/>
        </w:rPr>
        <w:t xml:space="preserve">a) </w:t>
      </w:r>
      <w:r w:rsidR="0003264F" w:rsidRPr="00A56475">
        <w:rPr>
          <w:bCs/>
        </w:rPr>
        <w:t>‘</w:t>
      </w:r>
      <w:r w:rsidR="00096AC2" w:rsidRPr="00A56475">
        <w:rPr>
          <w:bCs/>
        </w:rPr>
        <w:t>Proscribed Terrorist G</w:t>
      </w:r>
      <w:r w:rsidR="00EA3606" w:rsidRPr="00A56475">
        <w:rPr>
          <w:bCs/>
        </w:rPr>
        <w:t>roups</w:t>
      </w:r>
      <w:r w:rsidR="0003264F" w:rsidRPr="00A56475">
        <w:rPr>
          <w:bCs/>
        </w:rPr>
        <w:t>’</w:t>
      </w:r>
      <w:r w:rsidR="00EA3606" w:rsidRPr="00A56475">
        <w:rPr>
          <w:bCs/>
        </w:rPr>
        <w:t>; at:</w:t>
      </w:r>
      <w:r w:rsidR="00546C11" w:rsidRPr="00A56475">
        <w:rPr>
          <w:bCs/>
        </w:rPr>
        <w:t xml:space="preserve"> </w:t>
      </w:r>
      <w:hyperlink r:id="rId12" w:history="1">
        <w:r w:rsidRPr="00A56475">
          <w:rPr>
            <w:rStyle w:val="Hyperlink"/>
          </w:rPr>
          <w:t>http://security.homeoffice.gov.uk/legislation/current-legislation/terrorism-act-2000/proscribed-groups</w:t>
        </w:r>
      </w:hyperlink>
      <w:r w:rsidR="00546C11" w:rsidRPr="00A56475">
        <w:t xml:space="preserve"> </w:t>
      </w:r>
      <w:r w:rsidR="00546C11" w:rsidRPr="00A56475">
        <w:rPr>
          <w:bCs/>
        </w:rPr>
        <w:t>(accessed 17 August 2009).</w:t>
      </w:r>
    </w:p>
    <w:p w:rsidR="00244B70" w:rsidRPr="00A56475" w:rsidRDefault="00244B70" w:rsidP="008F7BE2">
      <w:pPr>
        <w:suppressAutoHyphens w:val="0"/>
        <w:spacing w:line="480" w:lineRule="auto"/>
        <w:jc w:val="both"/>
        <w:rPr>
          <w:bCs/>
        </w:rPr>
      </w:pPr>
    </w:p>
    <w:p w:rsidR="00244B70" w:rsidRPr="00A56475" w:rsidRDefault="00244B70" w:rsidP="008F7BE2">
      <w:pPr>
        <w:suppressAutoHyphens w:val="0"/>
        <w:spacing w:line="480" w:lineRule="auto"/>
        <w:jc w:val="both"/>
        <w:rPr>
          <w:bCs/>
        </w:rPr>
      </w:pPr>
      <w:r w:rsidRPr="00A56475">
        <w:rPr>
          <w:bCs/>
        </w:rPr>
        <w:t>Home Office (2009b) Statistics on Terrorism Arrests and Outcomes in Great Britain, 11 September 2001 to 31 March 2008.</w:t>
      </w:r>
      <w:r w:rsidRPr="00A56475">
        <w:t xml:space="preserve"> Surbiton, Surrey: Statistical Department, Home Office.</w:t>
      </w:r>
    </w:p>
    <w:p w:rsidR="00244B70" w:rsidRPr="00A56475" w:rsidRDefault="00244B70" w:rsidP="008F7BE2">
      <w:pPr>
        <w:suppressAutoHyphens w:val="0"/>
        <w:spacing w:line="480" w:lineRule="auto"/>
        <w:jc w:val="both"/>
        <w:rPr>
          <w:bCs/>
        </w:rPr>
      </w:pPr>
    </w:p>
    <w:p w:rsidR="00244B70" w:rsidRPr="00A56475" w:rsidRDefault="00244B70" w:rsidP="008F7BE2">
      <w:pPr>
        <w:suppressAutoHyphens w:val="0"/>
        <w:spacing w:line="480" w:lineRule="auto"/>
        <w:jc w:val="both"/>
        <w:rPr>
          <w:bCs/>
        </w:rPr>
      </w:pPr>
      <w:r w:rsidRPr="00A56475">
        <w:rPr>
          <w:bCs/>
        </w:rPr>
        <w:t>Home Office (2001) Statistics on the Operation of the Prevention of Terrorism Legislation, Great Britain, 2000.</w:t>
      </w:r>
      <w:r w:rsidRPr="00A56475">
        <w:t xml:space="preserve"> Surbiton, Surrey: Statistical Department, Home Office.</w:t>
      </w:r>
    </w:p>
    <w:p w:rsidR="00244B70" w:rsidRPr="00A56475" w:rsidRDefault="00244B70" w:rsidP="008F7BE2">
      <w:pPr>
        <w:suppressAutoHyphens w:val="0"/>
        <w:spacing w:line="480" w:lineRule="auto"/>
        <w:jc w:val="both"/>
        <w:rPr>
          <w:bCs/>
        </w:rPr>
      </w:pPr>
    </w:p>
    <w:p w:rsidR="00244B70" w:rsidRPr="00A56475" w:rsidRDefault="00244B70" w:rsidP="008F7BE2">
      <w:pPr>
        <w:suppressAutoHyphens w:val="0"/>
        <w:spacing w:line="480" w:lineRule="auto"/>
        <w:jc w:val="both"/>
        <w:rPr>
          <w:bCs/>
        </w:rPr>
      </w:pPr>
      <w:r w:rsidRPr="00A56475">
        <w:rPr>
          <w:bCs/>
        </w:rPr>
        <w:t>Home Office (1998) Statistics on the Operation of the Prevention of Terrorism Legislation, Great Britain, 1997.</w:t>
      </w:r>
      <w:r w:rsidRPr="00A56475">
        <w:t xml:space="preserve"> Surbiton, Surrey: Statistical Department, Home Office.</w:t>
      </w:r>
    </w:p>
    <w:p w:rsidR="00244B70" w:rsidRPr="00A56475" w:rsidRDefault="00244B70" w:rsidP="008F7BE2">
      <w:pPr>
        <w:suppressAutoHyphens w:val="0"/>
        <w:spacing w:line="480" w:lineRule="auto"/>
        <w:jc w:val="both"/>
        <w:rPr>
          <w:bCs/>
        </w:rPr>
      </w:pPr>
    </w:p>
    <w:p w:rsidR="00244B70" w:rsidRPr="00A56475" w:rsidRDefault="00244B70" w:rsidP="008F7BE2">
      <w:pPr>
        <w:suppressAutoHyphens w:val="0"/>
        <w:spacing w:line="480" w:lineRule="auto"/>
        <w:jc w:val="both"/>
      </w:pPr>
      <w:r w:rsidRPr="00A56475">
        <w:t>Home Office (1991) Statistics on the Operation of the Prevention of Terrorism Legislation – 1990. Surbiton, Surrey: Statistical Department, Home Office.</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rPr>
          <w:bCs/>
        </w:rPr>
        <w:t xml:space="preserve">Home Office (1984) Statistics on the Operation of the Prevention of Terrorism (Temporary Provisions) Acts 1974, 1976 and 1984 – 29 November 1974 to 30 June 1984. </w:t>
      </w:r>
      <w:r w:rsidRPr="00A56475">
        <w:t>Surbiton, Surrey: Statistical Department, Home Office.</w:t>
      </w:r>
    </w:p>
    <w:p w:rsidR="00356865" w:rsidRPr="00A56475" w:rsidRDefault="00356865" w:rsidP="008F7BE2">
      <w:pPr>
        <w:suppressAutoHyphens w:val="0"/>
        <w:spacing w:line="480" w:lineRule="auto"/>
        <w:jc w:val="both"/>
      </w:pPr>
    </w:p>
    <w:p w:rsidR="00972564" w:rsidRPr="00A56475" w:rsidRDefault="00972564" w:rsidP="008F7BE2">
      <w:pPr>
        <w:suppressAutoHyphens w:val="0"/>
        <w:spacing w:line="480" w:lineRule="auto"/>
        <w:jc w:val="both"/>
      </w:pPr>
      <w:r w:rsidRPr="00A56475">
        <w:t>Jackson, Richard (2005) Writing the War on Terrorism: Language, Politics and Counter-terrorism. Manchester: Manchester University Press.</w:t>
      </w:r>
    </w:p>
    <w:p w:rsidR="00244B70" w:rsidRPr="00A56475" w:rsidRDefault="00244B70" w:rsidP="008F7BE2">
      <w:pPr>
        <w:suppressAutoHyphens w:val="0"/>
        <w:spacing w:line="480" w:lineRule="auto"/>
        <w:jc w:val="both"/>
        <w:rPr>
          <w:bCs/>
        </w:rPr>
      </w:pPr>
    </w:p>
    <w:p w:rsidR="00335B26" w:rsidRPr="00A56475" w:rsidRDefault="00335B26" w:rsidP="008F7BE2">
      <w:pPr>
        <w:suppressAutoHyphens w:val="0"/>
        <w:spacing w:line="480" w:lineRule="auto"/>
        <w:jc w:val="both"/>
      </w:pPr>
      <w:r w:rsidRPr="00A56475">
        <w:t xml:space="preserve">Jacoby, Wade and Hakan Yavuz (2008) </w:t>
      </w:r>
      <w:r w:rsidR="0003264F" w:rsidRPr="00A56475">
        <w:t>‘</w:t>
      </w:r>
      <w:r w:rsidRPr="00A56475">
        <w:t>Modernization, Identity and Integration: An Introduction to the Special Issue on Islam in Europe</w:t>
      </w:r>
      <w:r w:rsidR="0003264F" w:rsidRPr="00A56475">
        <w:t>’</w:t>
      </w:r>
      <w:r w:rsidRPr="00A56475">
        <w:t>, Journal of Mus</w:t>
      </w:r>
      <w:r w:rsidR="000108A8" w:rsidRPr="00A56475">
        <w:t>lim Minority Affairs</w:t>
      </w:r>
      <w:r w:rsidR="00E6753C" w:rsidRPr="00A56475">
        <w:t xml:space="preserve"> 28(1): 1-6</w:t>
      </w:r>
      <w:r w:rsidRPr="00A56475">
        <w:t>.</w:t>
      </w:r>
    </w:p>
    <w:p w:rsidR="00F407EB" w:rsidRPr="00A56475" w:rsidRDefault="00F407EB" w:rsidP="008F7BE2">
      <w:pPr>
        <w:suppressAutoHyphens w:val="0"/>
        <w:spacing w:line="480" w:lineRule="auto"/>
        <w:jc w:val="both"/>
      </w:pPr>
    </w:p>
    <w:p w:rsidR="00F407EB" w:rsidRPr="00A56475" w:rsidRDefault="00F407EB" w:rsidP="008F7BE2">
      <w:pPr>
        <w:suppressAutoHyphens w:val="0"/>
        <w:spacing w:line="480" w:lineRule="auto"/>
        <w:jc w:val="both"/>
      </w:pPr>
      <w:r w:rsidRPr="00A56475">
        <w:t xml:space="preserve">Kyriakides, Christopher, Satnam Virdee and Tariq Modood (2009) </w:t>
      </w:r>
      <w:r w:rsidR="0003264F" w:rsidRPr="00A56475">
        <w:t>‘</w:t>
      </w:r>
      <w:r w:rsidRPr="00A56475">
        <w:t>Racism, Muslims and the National Imagination</w:t>
      </w:r>
      <w:r w:rsidR="0003264F" w:rsidRPr="00A56475">
        <w:t>’</w:t>
      </w:r>
      <w:r w:rsidRPr="00A56475">
        <w:t>, Journal of Ethnic an</w:t>
      </w:r>
      <w:r w:rsidR="000108A8" w:rsidRPr="00A56475">
        <w:t>d Migration Studies</w:t>
      </w:r>
      <w:r w:rsidR="00802F62" w:rsidRPr="00A56475">
        <w:t xml:space="preserve"> 35(2): 289-</w:t>
      </w:r>
      <w:r w:rsidRPr="00A56475">
        <w:t>308.</w:t>
      </w:r>
    </w:p>
    <w:p w:rsidR="00335B26" w:rsidRPr="00A56475" w:rsidRDefault="00335B26" w:rsidP="008F7BE2">
      <w:pPr>
        <w:suppressAutoHyphens w:val="0"/>
        <w:spacing w:line="480" w:lineRule="auto"/>
        <w:jc w:val="both"/>
      </w:pPr>
    </w:p>
    <w:p w:rsidR="00244B70" w:rsidRPr="00A56475" w:rsidRDefault="00244B70" w:rsidP="008F7BE2">
      <w:pPr>
        <w:suppressAutoHyphens w:val="0"/>
        <w:spacing w:line="480" w:lineRule="auto"/>
        <w:jc w:val="both"/>
      </w:pPr>
      <w:r w:rsidRPr="00A56475">
        <w:t xml:space="preserve">Lagan, Sarah (2005) </w:t>
      </w:r>
      <w:r w:rsidR="0003264F" w:rsidRPr="00A56475">
        <w:t>‘</w:t>
      </w:r>
      <w:r w:rsidRPr="00A56475">
        <w:t>Irish Post</w:t>
      </w:r>
      <w:r w:rsidR="007C2E0C" w:rsidRPr="00A56475">
        <w:t xml:space="preserve"> Revamps in Bid to Woo Younger R</w:t>
      </w:r>
      <w:r w:rsidRPr="00A56475">
        <w:t>eaders</w:t>
      </w:r>
      <w:r w:rsidR="0003264F" w:rsidRPr="00A56475">
        <w:t>’</w:t>
      </w:r>
      <w:r w:rsidR="007C2E0C" w:rsidRPr="00A56475">
        <w:t>.</w:t>
      </w:r>
      <w:r w:rsidRPr="00A56475">
        <w:t xml:space="preserve"> Press Gazette: Journalism Today</w:t>
      </w:r>
      <w:r w:rsidR="00EA3606" w:rsidRPr="00A56475">
        <w:t>; at:</w:t>
      </w:r>
      <w:r w:rsidRPr="00A56475">
        <w:t xml:space="preserve"> </w:t>
      </w:r>
      <w:hyperlink r:id="rId13" w:history="1">
        <w:r w:rsidRPr="00A56475">
          <w:rPr>
            <w:rStyle w:val="Hyperlink"/>
          </w:rPr>
          <w:t>http://www.pressgazette.co.uk/story.asp?storyCode=30330</w:t>
        </w:r>
        <w:r w:rsidR="00E76A1D" w:rsidRPr="00A56475">
          <w:rPr>
            <w:rStyle w:val="Hyperlink"/>
          </w:rPr>
          <w:t>and</w:t>
        </w:r>
        <w:r w:rsidRPr="00A56475">
          <w:rPr>
            <w:rStyle w:val="Hyperlink"/>
          </w:rPr>
          <w:t>sectioncode=1</w:t>
        </w:r>
      </w:hyperlink>
      <w:r w:rsidR="00DF0959" w:rsidRPr="00A56475">
        <w:t xml:space="preserve"> (accessed 5 March 2009).</w:t>
      </w:r>
    </w:p>
    <w:p w:rsidR="00860F62" w:rsidRPr="00A56475" w:rsidRDefault="00860F62" w:rsidP="008F7BE2">
      <w:pPr>
        <w:suppressAutoHyphens w:val="0"/>
        <w:spacing w:line="480" w:lineRule="auto"/>
        <w:jc w:val="both"/>
      </w:pPr>
    </w:p>
    <w:p w:rsidR="009221BF" w:rsidRPr="00A56475" w:rsidRDefault="009221BF" w:rsidP="008F7BE2">
      <w:pPr>
        <w:suppressAutoHyphens w:val="0"/>
        <w:spacing w:line="480" w:lineRule="auto"/>
        <w:jc w:val="both"/>
      </w:pPr>
      <w:r w:rsidRPr="00A56475">
        <w:t xml:space="preserve">Lloyd, Cathie (1995) </w:t>
      </w:r>
      <w:r w:rsidR="0003264F" w:rsidRPr="00A56475">
        <w:t>‘</w:t>
      </w:r>
      <w:r w:rsidRPr="00A56475">
        <w:t>The Irish Community in Britain: Discrimination, Disadvantage, and Racism</w:t>
      </w:r>
      <w:r w:rsidR="00033CE0" w:rsidRPr="00A56475">
        <w:t xml:space="preserve"> </w:t>
      </w:r>
      <w:r w:rsidR="00D40A68" w:rsidRPr="00A56475">
        <w:t>-</w:t>
      </w:r>
      <w:r w:rsidR="00033CE0" w:rsidRPr="00A56475">
        <w:t xml:space="preserve"> </w:t>
      </w:r>
      <w:r w:rsidRPr="00A56475">
        <w:t>An Annotated Bibliography</w:t>
      </w:r>
      <w:r w:rsidR="0003264F" w:rsidRPr="00A56475">
        <w:t>’</w:t>
      </w:r>
      <w:r w:rsidRPr="00A56475">
        <w:t>. Irish Studies Centre Occasional Papers Series</w:t>
      </w:r>
      <w:r w:rsidR="002E041B" w:rsidRPr="00A56475">
        <w:t xml:space="preserve"> No. </w:t>
      </w:r>
      <w:r w:rsidRPr="00A56475">
        <w:t>7. London: University of North London Press.</w:t>
      </w:r>
    </w:p>
    <w:p w:rsidR="00A22D95" w:rsidRPr="00A56475" w:rsidRDefault="00A22D95" w:rsidP="008F7BE2">
      <w:pPr>
        <w:suppressAutoHyphens w:val="0"/>
        <w:spacing w:line="480" w:lineRule="auto"/>
        <w:jc w:val="both"/>
      </w:pPr>
    </w:p>
    <w:p w:rsidR="00A22D95" w:rsidRPr="00A56475" w:rsidRDefault="00A22D95" w:rsidP="008F7BE2">
      <w:pPr>
        <w:suppressAutoHyphens w:val="0"/>
        <w:spacing w:line="480" w:lineRule="auto"/>
        <w:jc w:val="both"/>
      </w:pPr>
      <w:r w:rsidRPr="00A56475">
        <w:t>Macpherson, William (1999) The Stephen Lawrence Enquiry. London: Stationery Office.</w:t>
      </w:r>
    </w:p>
    <w:p w:rsidR="003F21FA" w:rsidRPr="00A56475" w:rsidRDefault="003F21FA" w:rsidP="008F7BE2">
      <w:pPr>
        <w:suppressAutoHyphens w:val="0"/>
        <w:spacing w:line="480" w:lineRule="auto"/>
        <w:jc w:val="both"/>
      </w:pPr>
    </w:p>
    <w:p w:rsidR="00244B70" w:rsidRPr="00A56475" w:rsidRDefault="00244B70" w:rsidP="008F7BE2">
      <w:pPr>
        <w:suppressAutoHyphens w:val="0"/>
        <w:spacing w:line="480" w:lineRule="auto"/>
        <w:jc w:val="both"/>
      </w:pPr>
      <w:r w:rsidRPr="00A56475">
        <w:t xml:space="preserve">Miller, David (2006) </w:t>
      </w:r>
      <w:r w:rsidR="0003264F" w:rsidRPr="00A56475">
        <w:t>‘</w:t>
      </w:r>
      <w:r w:rsidR="007C2E0C" w:rsidRPr="00A56475">
        <w:t>Propaganda and the “Terror T</w:t>
      </w:r>
      <w:r w:rsidRPr="00A56475">
        <w:t>hreat” in the UK</w:t>
      </w:r>
      <w:r w:rsidR="0003264F" w:rsidRPr="00A56475">
        <w:t>’</w:t>
      </w:r>
      <w:r w:rsidR="007C2E0C" w:rsidRPr="00A56475">
        <w:t>, pp. 45-52 i</w:t>
      </w:r>
      <w:r w:rsidRPr="00A56475">
        <w:t xml:space="preserve">n </w:t>
      </w:r>
      <w:r w:rsidR="007C2E0C" w:rsidRPr="00A56475">
        <w:t xml:space="preserve">E. </w:t>
      </w:r>
      <w:r w:rsidRPr="00A56475">
        <w:t>Poole</w:t>
      </w:r>
      <w:r w:rsidR="007C2E0C" w:rsidRPr="00A56475">
        <w:t xml:space="preserve"> </w:t>
      </w:r>
      <w:r w:rsidR="00E76A1D" w:rsidRPr="00A56475">
        <w:t>and</w:t>
      </w:r>
      <w:r w:rsidRPr="00A56475">
        <w:t xml:space="preserve"> </w:t>
      </w:r>
      <w:r w:rsidR="007C2E0C" w:rsidRPr="00A56475">
        <w:t xml:space="preserve">J.E. </w:t>
      </w:r>
      <w:r w:rsidRPr="00A56475">
        <w:t xml:space="preserve">Richardson (eds), Muslims and the News Media. London </w:t>
      </w:r>
      <w:r w:rsidR="007C2E0C" w:rsidRPr="00A56475">
        <w:t>and New York: I.B. Tauris</w:t>
      </w:r>
      <w:r w:rsidRPr="00A56475">
        <w:t>.</w:t>
      </w:r>
    </w:p>
    <w:p w:rsidR="00C75806" w:rsidRPr="00A56475" w:rsidRDefault="00C75806" w:rsidP="008F7BE2">
      <w:pPr>
        <w:suppressAutoHyphens w:val="0"/>
        <w:spacing w:line="480" w:lineRule="auto"/>
        <w:jc w:val="both"/>
      </w:pPr>
    </w:p>
    <w:p w:rsidR="00F83551" w:rsidRPr="00A56475" w:rsidRDefault="00F83551" w:rsidP="008F7BE2">
      <w:pPr>
        <w:suppressAutoHyphens w:val="0"/>
        <w:spacing w:line="480" w:lineRule="auto"/>
        <w:jc w:val="both"/>
      </w:pPr>
      <w:r w:rsidRPr="00A56475">
        <w:lastRenderedPageBreak/>
        <w:t>Miller, David (1994) Don’t Mention the War: Northern Ireland, Propaganda and the Media. London: Pluto Press.</w:t>
      </w:r>
    </w:p>
    <w:p w:rsidR="00F83551" w:rsidRPr="00A56475" w:rsidRDefault="00F83551" w:rsidP="008F7BE2">
      <w:pPr>
        <w:suppressAutoHyphens w:val="0"/>
        <w:spacing w:line="480" w:lineRule="auto"/>
        <w:jc w:val="both"/>
      </w:pPr>
    </w:p>
    <w:p w:rsidR="00C75806" w:rsidRPr="00A56475" w:rsidRDefault="00C75806" w:rsidP="008F7BE2">
      <w:pPr>
        <w:suppressAutoHyphens w:val="0"/>
        <w:spacing w:line="480" w:lineRule="auto"/>
        <w:jc w:val="both"/>
      </w:pPr>
      <w:r w:rsidRPr="00A56475">
        <w:t xml:space="preserve">Mitchell, Claire (2005) ‘Behind The Ethnic Marker: Religion And Social Identification In Northern Ireland’, Sociology of </w:t>
      </w:r>
      <w:r w:rsidR="000108A8" w:rsidRPr="00A56475">
        <w:t>Religion</w:t>
      </w:r>
      <w:r w:rsidRPr="00A56475">
        <w:t xml:space="preserve"> 66(1):3-21.</w:t>
      </w:r>
    </w:p>
    <w:p w:rsidR="000C0264" w:rsidRPr="00A56475" w:rsidRDefault="000C0264" w:rsidP="008F7BE2">
      <w:pPr>
        <w:suppressAutoHyphens w:val="0"/>
        <w:spacing w:line="480" w:lineRule="auto"/>
        <w:jc w:val="both"/>
      </w:pPr>
    </w:p>
    <w:p w:rsidR="00B209E3" w:rsidRPr="00A56475" w:rsidRDefault="00B209E3" w:rsidP="008F7BE2">
      <w:pPr>
        <w:suppressAutoHyphens w:val="0"/>
        <w:spacing w:line="480" w:lineRule="auto"/>
        <w:jc w:val="both"/>
      </w:pPr>
      <w:r w:rsidRPr="00A56475">
        <w:t xml:space="preserve">Moore, Kerry, Paul Mason and Justin Lewis (2008) Images of Islam in the UK: The Representation of British Muslims in the National Print News Media 2000-2008. Cardiff School of Journalism, Media and Cultural Studies; at </w:t>
      </w:r>
      <w:hyperlink r:id="rId14" w:history="1">
        <w:r w:rsidRPr="00A56475">
          <w:rPr>
            <w:rStyle w:val="Hyperlink"/>
          </w:rPr>
          <w:t>www.cardiff.ac.uk/jomec/resources/08channel4-dispatches.pdf</w:t>
        </w:r>
      </w:hyperlink>
      <w:r w:rsidRPr="00A56475">
        <w:t xml:space="preserve"> (accessed 19 March 2010).</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t xml:space="preserve">Morgan, Sarah (1997) </w:t>
      </w:r>
      <w:r w:rsidR="0003264F" w:rsidRPr="00A56475">
        <w:t>‘</w:t>
      </w:r>
      <w:r w:rsidRPr="00A56475">
        <w:t>The Contemporary Racialization of the Irish in Britain: An Investigation into the Media Representations and the Everyday Experience of Being Irish in Britain</w:t>
      </w:r>
      <w:r w:rsidR="0003264F" w:rsidRPr="00A56475">
        <w:t>’</w:t>
      </w:r>
      <w:r w:rsidRPr="00A56475">
        <w:t xml:space="preserve">. </w:t>
      </w:r>
      <w:r w:rsidR="00D14CC1" w:rsidRPr="00A56475">
        <w:t xml:space="preserve">PhD </w:t>
      </w:r>
      <w:r w:rsidRPr="00A56475">
        <w:t xml:space="preserve">dissertation, </w:t>
      </w:r>
      <w:r w:rsidR="00D14CC1" w:rsidRPr="00A56475">
        <w:t xml:space="preserve">London, </w:t>
      </w:r>
      <w:r w:rsidRPr="00A56475">
        <w:t>University of North London.</w:t>
      </w:r>
    </w:p>
    <w:p w:rsidR="00244B70" w:rsidRPr="00A56475" w:rsidRDefault="00244B70" w:rsidP="008F7BE2">
      <w:pPr>
        <w:suppressAutoHyphens w:val="0"/>
        <w:spacing w:line="480" w:lineRule="auto"/>
        <w:jc w:val="both"/>
      </w:pPr>
    </w:p>
    <w:p w:rsidR="00244B70" w:rsidRPr="00A56475" w:rsidRDefault="00C74451" w:rsidP="008F7BE2">
      <w:pPr>
        <w:suppressAutoHyphens w:val="0"/>
        <w:spacing w:line="480" w:lineRule="auto"/>
        <w:jc w:val="both"/>
      </w:pPr>
      <w:r w:rsidRPr="00A56475">
        <w:t>Muslim News (2009</w:t>
      </w:r>
      <w:r w:rsidR="00244B70" w:rsidRPr="00A56475">
        <w:t xml:space="preserve">) </w:t>
      </w:r>
      <w:r w:rsidR="0003264F" w:rsidRPr="00A56475">
        <w:t>‘</w:t>
      </w:r>
      <w:r w:rsidR="0071205E" w:rsidRPr="00A56475">
        <w:t>About us… Did You K</w:t>
      </w:r>
      <w:r w:rsidR="00244B70" w:rsidRPr="00A56475">
        <w:t>now?</w:t>
      </w:r>
      <w:r w:rsidR="0003264F" w:rsidRPr="00A56475">
        <w:t>’</w:t>
      </w:r>
      <w:r w:rsidR="00244B70" w:rsidRPr="00A56475">
        <w:t xml:space="preserve"> </w:t>
      </w:r>
      <w:r w:rsidR="006811FE" w:rsidRPr="00A56475">
        <w:t>at:</w:t>
      </w:r>
      <w:r w:rsidR="00244B70" w:rsidRPr="00A56475">
        <w:t xml:space="preserve"> </w:t>
      </w:r>
      <w:hyperlink r:id="rId15" w:history="1">
        <w:r w:rsidR="00244B70" w:rsidRPr="00A56475">
          <w:rPr>
            <w:rStyle w:val="Hyperlink"/>
          </w:rPr>
          <w:t>http://www.muslimnews.co.uk/index/section.php?page=about_us</w:t>
        </w:r>
      </w:hyperlink>
      <w:r w:rsidR="003145E2" w:rsidRPr="00A56475">
        <w:t xml:space="preserve"> (accessed 21 May 2009)</w:t>
      </w:r>
      <w:r w:rsidR="00244B70" w:rsidRPr="00A56475">
        <w:t>.</w:t>
      </w:r>
    </w:p>
    <w:p w:rsidR="00244B70" w:rsidRPr="00A56475" w:rsidRDefault="00244B70" w:rsidP="008F7BE2">
      <w:pPr>
        <w:suppressAutoHyphens w:val="0"/>
        <w:spacing w:line="480" w:lineRule="auto"/>
        <w:jc w:val="both"/>
      </w:pPr>
    </w:p>
    <w:p w:rsidR="00244B70" w:rsidRPr="00A56475" w:rsidRDefault="00503128" w:rsidP="008F7BE2">
      <w:pPr>
        <w:suppressAutoHyphens w:val="0"/>
        <w:spacing w:line="480" w:lineRule="auto"/>
        <w:jc w:val="both"/>
      </w:pPr>
      <w:r w:rsidRPr="00A56475">
        <w:t>National Readership Survey (2010</w:t>
      </w:r>
      <w:r w:rsidR="00244B70" w:rsidRPr="00A56475">
        <w:t xml:space="preserve">) </w:t>
      </w:r>
      <w:r w:rsidR="0003264F" w:rsidRPr="00A56475">
        <w:t>‘</w:t>
      </w:r>
      <w:r w:rsidRPr="00A56475">
        <w:t>NRS Readership Estimates</w:t>
      </w:r>
      <w:r w:rsidR="00D40A68" w:rsidRPr="00A56475">
        <w:t>-</w:t>
      </w:r>
      <w:r w:rsidRPr="00A56475">
        <w:t>Newspapers and Supplements</w:t>
      </w:r>
      <w:r w:rsidR="0003264F" w:rsidRPr="00A56475">
        <w:t>’</w:t>
      </w:r>
      <w:r w:rsidR="006811FE" w:rsidRPr="00A56475">
        <w:t>; at:</w:t>
      </w:r>
      <w:r w:rsidR="00244B70" w:rsidRPr="00A56475">
        <w:t xml:space="preserve"> </w:t>
      </w:r>
      <w:hyperlink r:id="rId16" w:history="1">
        <w:r w:rsidR="00244B70" w:rsidRPr="00A56475">
          <w:rPr>
            <w:rStyle w:val="Hyperlink"/>
          </w:rPr>
          <w:t>http://www.nrs.co.uk/top_line_readership</w:t>
        </w:r>
      </w:hyperlink>
      <w:r w:rsidRPr="00A56475">
        <w:t xml:space="preserve"> (accessed 26 July 2010</w:t>
      </w:r>
      <w:r w:rsidR="00902021" w:rsidRPr="00A56475">
        <w:t>)</w:t>
      </w:r>
      <w:r w:rsidR="00244B70" w:rsidRPr="00A56475">
        <w:t>.</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lastRenderedPageBreak/>
        <w:t xml:space="preserve">Pantazis, Christina </w:t>
      </w:r>
      <w:r w:rsidR="00E76A1D" w:rsidRPr="00A56475">
        <w:t>and</w:t>
      </w:r>
      <w:r w:rsidRPr="00A56475">
        <w:t xml:space="preserve"> </w:t>
      </w:r>
      <w:r w:rsidR="00135185" w:rsidRPr="00A56475">
        <w:t xml:space="preserve">Simon </w:t>
      </w:r>
      <w:r w:rsidRPr="00A56475">
        <w:t xml:space="preserve">Pemberton (2009) </w:t>
      </w:r>
      <w:r w:rsidR="0003264F" w:rsidRPr="00A56475">
        <w:t>‘</w:t>
      </w:r>
      <w:r w:rsidR="00135185" w:rsidRPr="00A56475">
        <w:t>From the “Old” to the “New” Suspect Community: Examining the Impacts of Recent UK Counter-terrorist L</w:t>
      </w:r>
      <w:r w:rsidRPr="00A56475">
        <w:t>egislation</w:t>
      </w:r>
      <w:r w:rsidR="0003264F" w:rsidRPr="00A56475">
        <w:t>’</w:t>
      </w:r>
      <w:r w:rsidR="00135185" w:rsidRPr="00A56475">
        <w:t>.</w:t>
      </w:r>
      <w:r w:rsidR="000108A8" w:rsidRPr="00A56475">
        <w:t xml:space="preserve"> British Journal of Criminology</w:t>
      </w:r>
      <w:r w:rsidRPr="00A56475">
        <w:t xml:space="preserve"> </w:t>
      </w:r>
      <w:r w:rsidR="000C17CD" w:rsidRPr="00A56475">
        <w:t>49(5): 646-66.</w:t>
      </w:r>
    </w:p>
    <w:p w:rsidR="0088081C" w:rsidRPr="00A56475" w:rsidRDefault="0088081C" w:rsidP="008F7BE2">
      <w:pPr>
        <w:suppressAutoHyphens w:val="0"/>
        <w:spacing w:line="480" w:lineRule="auto"/>
        <w:jc w:val="both"/>
      </w:pPr>
    </w:p>
    <w:p w:rsidR="00586095" w:rsidRPr="00A56475" w:rsidRDefault="00586095" w:rsidP="008F7BE2">
      <w:pPr>
        <w:suppressAutoHyphens w:val="0"/>
        <w:spacing w:line="480" w:lineRule="auto"/>
        <w:jc w:val="both"/>
      </w:pPr>
      <w:r w:rsidRPr="00A56475">
        <w:t>Peach, Ceri</w:t>
      </w:r>
      <w:r w:rsidR="0018683B" w:rsidRPr="00A56475">
        <w:t xml:space="preserve"> </w:t>
      </w:r>
      <w:r w:rsidRPr="00A56475">
        <w:t xml:space="preserve">(2006) </w:t>
      </w:r>
      <w:r w:rsidR="0003264F" w:rsidRPr="00A56475">
        <w:t>‘</w:t>
      </w:r>
      <w:r w:rsidRPr="00A56475">
        <w:t>Muslims in the 2001 Census of England and Wales: Gender and Economic Disadvantage</w:t>
      </w:r>
      <w:r w:rsidR="0003264F" w:rsidRPr="00A56475">
        <w:t>’</w:t>
      </w:r>
      <w:r w:rsidRPr="00A56475">
        <w:t>, Ethnic and Racial Studies, 29(4): 629-55.</w:t>
      </w:r>
    </w:p>
    <w:p w:rsidR="00A0018C" w:rsidRPr="00A56475" w:rsidRDefault="00A0018C" w:rsidP="008F7BE2">
      <w:pPr>
        <w:suppressAutoHyphens w:val="0"/>
        <w:spacing w:line="480" w:lineRule="auto"/>
        <w:jc w:val="both"/>
      </w:pPr>
    </w:p>
    <w:p w:rsidR="00A0018C" w:rsidRPr="00A56475" w:rsidRDefault="00A0018C" w:rsidP="008F7BE2">
      <w:pPr>
        <w:suppressAutoHyphens w:val="0"/>
        <w:spacing w:line="480" w:lineRule="auto"/>
        <w:jc w:val="both"/>
      </w:pPr>
      <w:r w:rsidRPr="00A56475">
        <w:t xml:space="preserve">Peirce, Gareth (2008) </w:t>
      </w:r>
      <w:r w:rsidR="0003264F" w:rsidRPr="00A56475">
        <w:t>‘</w:t>
      </w:r>
      <w:r w:rsidRPr="00A56475">
        <w:t>Was It Like This for the Irish: Gareth Peirce on the Position of Muslims in Britain</w:t>
      </w:r>
      <w:r w:rsidR="0003264F" w:rsidRPr="00A56475">
        <w:t>’</w:t>
      </w:r>
      <w:r w:rsidR="000108A8" w:rsidRPr="00A56475">
        <w:t>, London Review of Books</w:t>
      </w:r>
      <w:r w:rsidRPr="00A56475">
        <w:t xml:space="preserve"> </w:t>
      </w:r>
      <w:r w:rsidR="008C44BE" w:rsidRPr="00A56475">
        <w:t>30(7): 3-8</w:t>
      </w:r>
      <w:r w:rsidRPr="00A56475">
        <w:t xml:space="preserve">; at </w:t>
      </w:r>
      <w:hyperlink r:id="rId17" w:history="1">
        <w:r w:rsidRPr="00A56475">
          <w:rPr>
            <w:rStyle w:val="Hyperlink"/>
          </w:rPr>
          <w:t>http://www.lrb.co.uk/v30/n07/gareth-peirce/was-it-like-this-for-the-irish</w:t>
        </w:r>
      </w:hyperlink>
      <w:r w:rsidRPr="00A56475">
        <w:t xml:space="preserve"> (accessed 6 August 2010).</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t>Poole, Elizabeth (2002) Reporting Islam: Media Representations of British Muslims. London: IB Tauris.</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t xml:space="preserve">Poole, Elizabeth </w:t>
      </w:r>
      <w:r w:rsidR="00E76A1D" w:rsidRPr="00A56475">
        <w:t>and</w:t>
      </w:r>
      <w:r w:rsidRPr="00A56475">
        <w:t xml:space="preserve"> </w:t>
      </w:r>
      <w:r w:rsidR="00CC3E5A" w:rsidRPr="00A56475">
        <w:t xml:space="preserve">John E. </w:t>
      </w:r>
      <w:r w:rsidRPr="00A56475">
        <w:t>Richardson (2006, eds), Muslims and the News Media. London and New York: I.B. Tauris</w:t>
      </w:r>
      <w:r w:rsidR="00CC3E5A" w:rsidRPr="00A56475">
        <w:t>.</w:t>
      </w:r>
    </w:p>
    <w:p w:rsidR="007E13FC" w:rsidRPr="00A56475" w:rsidRDefault="007E13FC" w:rsidP="008F7BE2">
      <w:pPr>
        <w:suppressAutoHyphens w:val="0"/>
        <w:spacing w:line="480" w:lineRule="auto"/>
        <w:jc w:val="both"/>
      </w:pPr>
    </w:p>
    <w:p w:rsidR="007E13FC" w:rsidRPr="00A56475" w:rsidRDefault="007E13FC" w:rsidP="008F7BE2">
      <w:pPr>
        <w:suppressAutoHyphens w:val="0"/>
        <w:spacing w:line="480" w:lineRule="auto"/>
        <w:jc w:val="both"/>
      </w:pPr>
      <w:r w:rsidRPr="00A56475">
        <w:t xml:space="preserve">Rehman, Javaid (2007) </w:t>
      </w:r>
      <w:r w:rsidR="0003264F" w:rsidRPr="00A56475">
        <w:t>‘</w:t>
      </w:r>
      <w:r w:rsidRPr="00A56475">
        <w:t>Islam, “War on Terror” and the Future of Muslim Minorities in the United Kingdom: Dilemmas of Multiculturalism in the Aftermath of the London Bombings</w:t>
      </w:r>
      <w:r w:rsidR="0003264F" w:rsidRPr="00A56475">
        <w:t>’</w:t>
      </w:r>
      <w:r w:rsidR="000108A8" w:rsidRPr="00A56475">
        <w:t>, Human Rights Quarterly</w:t>
      </w:r>
      <w:r w:rsidRPr="00A56475">
        <w:t xml:space="preserve"> 29: 831-78.</w:t>
      </w:r>
    </w:p>
    <w:p w:rsidR="00244B70" w:rsidRPr="00A56475" w:rsidRDefault="00244B70" w:rsidP="008F7BE2">
      <w:pPr>
        <w:suppressAutoHyphens w:val="0"/>
        <w:spacing w:line="480" w:lineRule="auto"/>
        <w:jc w:val="both"/>
      </w:pPr>
    </w:p>
    <w:p w:rsidR="00244B70" w:rsidRPr="00A56475" w:rsidRDefault="00244B70" w:rsidP="008F7BE2">
      <w:pPr>
        <w:suppressAutoHyphens w:val="0"/>
        <w:spacing w:line="480" w:lineRule="auto"/>
        <w:jc w:val="both"/>
      </w:pPr>
      <w:r w:rsidRPr="00A56475">
        <w:lastRenderedPageBreak/>
        <w:t>Richardson, John E. (2004) (Mis)Representing Islam: The Racism and Rhetoric of British Broadsheet Newspapers. Amsterdam: John Benjamins Publishing Company.</w:t>
      </w:r>
    </w:p>
    <w:p w:rsidR="00BA2F0C" w:rsidRPr="00A56475" w:rsidRDefault="00BA2F0C" w:rsidP="008F7BE2">
      <w:pPr>
        <w:suppressAutoHyphens w:val="0"/>
        <w:spacing w:line="480" w:lineRule="auto"/>
        <w:jc w:val="both"/>
      </w:pPr>
    </w:p>
    <w:p w:rsidR="00BA2F0C" w:rsidRPr="00A56475" w:rsidRDefault="00BA2F0C" w:rsidP="008F7BE2">
      <w:pPr>
        <w:suppressAutoHyphens w:val="0"/>
        <w:spacing w:line="480" w:lineRule="auto"/>
        <w:jc w:val="both"/>
      </w:pPr>
      <w:r w:rsidRPr="00A56475">
        <w:t xml:space="preserve">Richardson, John E. (2001) </w:t>
      </w:r>
      <w:r w:rsidR="0003264F" w:rsidRPr="00A56475">
        <w:t>‘</w:t>
      </w:r>
      <w:r w:rsidRPr="00A56475">
        <w:t>British Muslims in the Broadsheet Press: A Challenge to Cultural Hegemony?</w:t>
      </w:r>
      <w:r w:rsidR="0003264F" w:rsidRPr="00A56475">
        <w:t>’</w:t>
      </w:r>
      <w:r w:rsidR="000108A8" w:rsidRPr="00A56475">
        <w:t>, Journalism Studies</w:t>
      </w:r>
      <w:r w:rsidRPr="00A56475">
        <w:t xml:space="preserve"> 2(2): 221-42.</w:t>
      </w:r>
    </w:p>
    <w:p w:rsidR="007439EF" w:rsidRPr="00A56475" w:rsidRDefault="007439EF" w:rsidP="008F7BE2">
      <w:pPr>
        <w:suppressAutoHyphens w:val="0"/>
        <w:spacing w:line="480" w:lineRule="auto"/>
        <w:jc w:val="both"/>
      </w:pPr>
    </w:p>
    <w:p w:rsidR="000C0DC5" w:rsidRPr="00A56475" w:rsidRDefault="000C0DC5" w:rsidP="008F7BE2">
      <w:pPr>
        <w:suppressAutoHyphens w:val="0"/>
        <w:spacing w:line="480" w:lineRule="auto"/>
        <w:jc w:val="both"/>
        <w:rPr>
          <w:szCs w:val="20"/>
        </w:rPr>
      </w:pPr>
      <w:r w:rsidRPr="00A56475">
        <w:rPr>
          <w:szCs w:val="20"/>
        </w:rPr>
        <w:t>Said, Edward (1981) Covering Islam: How the Media and the Experts Determine How We See the Rest of the World. London: Routledge and Kegan Paul.</w:t>
      </w:r>
    </w:p>
    <w:p w:rsidR="00987040" w:rsidRPr="00A56475" w:rsidRDefault="00987040" w:rsidP="008F7BE2">
      <w:pPr>
        <w:suppressAutoHyphens w:val="0"/>
        <w:spacing w:line="480" w:lineRule="auto"/>
        <w:jc w:val="both"/>
        <w:rPr>
          <w:szCs w:val="20"/>
        </w:rPr>
      </w:pPr>
    </w:p>
    <w:p w:rsidR="00987040" w:rsidRPr="00A56475" w:rsidRDefault="00987040" w:rsidP="008F7BE2">
      <w:pPr>
        <w:suppressAutoHyphens w:val="0"/>
        <w:spacing w:line="480" w:lineRule="auto"/>
        <w:jc w:val="both"/>
        <w:rPr>
          <w:szCs w:val="20"/>
        </w:rPr>
      </w:pPr>
      <w:r w:rsidRPr="00A56475">
        <w:rPr>
          <w:szCs w:val="20"/>
        </w:rPr>
        <w:t>Schlesinger, Philip (1992) Putting “Reality” Together: BBC News. London: Routledge.</w:t>
      </w:r>
    </w:p>
    <w:p w:rsidR="00140F99" w:rsidRPr="00A56475" w:rsidRDefault="00140F99" w:rsidP="008F7BE2">
      <w:pPr>
        <w:suppressAutoHyphens w:val="0"/>
        <w:spacing w:line="480" w:lineRule="auto"/>
        <w:jc w:val="both"/>
        <w:rPr>
          <w:szCs w:val="20"/>
        </w:rPr>
      </w:pPr>
    </w:p>
    <w:p w:rsidR="00891652" w:rsidRPr="00A56475" w:rsidRDefault="00891652" w:rsidP="008F7BE2">
      <w:pPr>
        <w:spacing w:line="480" w:lineRule="auto"/>
        <w:jc w:val="both"/>
      </w:pPr>
      <w:r w:rsidRPr="00A56475">
        <w:t xml:space="preserve">Statham, Paul (2002) </w:t>
      </w:r>
      <w:r w:rsidR="0003264F" w:rsidRPr="00A56475">
        <w:t>‘</w:t>
      </w:r>
      <w:r w:rsidRPr="00A56475">
        <w:t>United Kindgom</w:t>
      </w:r>
      <w:r w:rsidR="0003264F" w:rsidRPr="00A56475">
        <w:t>’</w:t>
      </w:r>
      <w:r w:rsidRPr="00A56475">
        <w:t>, pp. 395-420 in EUMC</w:t>
      </w:r>
      <w:r w:rsidR="00D40A68" w:rsidRPr="00A56475">
        <w:t>-</w:t>
      </w:r>
      <w:r w:rsidRPr="00A56475">
        <w:t>European Monitoring Centre</w:t>
      </w:r>
      <w:r w:rsidR="004C04DD" w:rsidRPr="00A56475">
        <w:t xml:space="preserve"> on Racism and Xenophobia,</w:t>
      </w:r>
      <w:r w:rsidRPr="00A56475">
        <w:t xml:space="preserve"> Racism and D</w:t>
      </w:r>
      <w:r w:rsidR="00E40AD5">
        <w:t>iversity in the Mass Media: An O</w:t>
      </w:r>
      <w:r w:rsidRPr="00A56475">
        <w:t xml:space="preserve">verview of </w:t>
      </w:r>
      <w:r w:rsidR="00E40AD5">
        <w:t>R</w:t>
      </w:r>
      <w:r w:rsidRPr="00A56475">
        <w:t xml:space="preserve">esearch and </w:t>
      </w:r>
      <w:r w:rsidR="00E40AD5">
        <w:t>E</w:t>
      </w:r>
      <w:r w:rsidRPr="00A56475">
        <w:t xml:space="preserve">xamples of </w:t>
      </w:r>
      <w:r w:rsidR="00E40AD5">
        <w:t>G</w:t>
      </w:r>
      <w:r w:rsidRPr="00A56475">
        <w:t xml:space="preserve">ood </w:t>
      </w:r>
      <w:r w:rsidR="00E40AD5">
        <w:t>P</w:t>
      </w:r>
      <w:r w:rsidRPr="00A56475">
        <w:t xml:space="preserve">ractice in the EU Member States, 1995-2000. Vienna: EUMC; at: </w:t>
      </w:r>
      <w:hyperlink r:id="rId18" w:history="1">
        <w:r w:rsidRPr="00A56475">
          <w:rPr>
            <w:rStyle w:val="Hyperlink"/>
          </w:rPr>
          <w:t>fra.europa.eu/fraWebsite/attachments/MR-CH4-15-United-Kingdom.pdf</w:t>
        </w:r>
      </w:hyperlink>
      <w:r w:rsidRPr="00A56475">
        <w:t xml:space="preserve"> (accessed 6 May 2010).</w:t>
      </w:r>
    </w:p>
    <w:p w:rsidR="006B75C7" w:rsidRPr="00A56475" w:rsidRDefault="006B75C7" w:rsidP="008F7BE2">
      <w:pPr>
        <w:suppressAutoHyphens w:val="0"/>
        <w:spacing w:line="480" w:lineRule="auto"/>
        <w:jc w:val="both"/>
      </w:pPr>
    </w:p>
    <w:p w:rsidR="00244B70" w:rsidRPr="00A56475" w:rsidRDefault="00244B70" w:rsidP="008F7BE2">
      <w:pPr>
        <w:suppressAutoHyphens w:val="0"/>
        <w:spacing w:line="480" w:lineRule="auto"/>
        <w:jc w:val="both"/>
        <w:rPr>
          <w:color w:val="000000"/>
        </w:rPr>
      </w:pPr>
      <w:r w:rsidRPr="00A56475">
        <w:t xml:space="preserve">Stern, Jessica (2004) </w:t>
      </w:r>
      <w:r w:rsidRPr="00A56475">
        <w:rPr>
          <w:color w:val="000000"/>
        </w:rPr>
        <w:t>Terror in the Name of God: Why Religious Militants Kill</w:t>
      </w:r>
      <w:r w:rsidR="001869E2" w:rsidRPr="00A56475">
        <w:rPr>
          <w:color w:val="000000"/>
        </w:rPr>
        <w:t>.</w:t>
      </w:r>
      <w:r w:rsidRPr="00A56475">
        <w:rPr>
          <w:b/>
          <w:color w:val="000000"/>
        </w:rPr>
        <w:t xml:space="preserve"> </w:t>
      </w:r>
      <w:r w:rsidRPr="00A56475">
        <w:rPr>
          <w:color w:val="000000"/>
        </w:rPr>
        <w:t>New York: Harper Collins.</w:t>
      </w:r>
    </w:p>
    <w:p w:rsidR="00F6014D" w:rsidRPr="00A56475" w:rsidRDefault="00F6014D" w:rsidP="008F7BE2">
      <w:pPr>
        <w:suppressAutoHyphens w:val="0"/>
        <w:spacing w:line="480" w:lineRule="auto"/>
        <w:jc w:val="both"/>
        <w:rPr>
          <w:color w:val="000000"/>
        </w:rPr>
      </w:pPr>
    </w:p>
    <w:p w:rsidR="00D40A68" w:rsidRPr="00A56475" w:rsidRDefault="00D40A68" w:rsidP="008F7BE2">
      <w:pPr>
        <w:spacing w:line="480" w:lineRule="auto"/>
        <w:jc w:val="both"/>
      </w:pPr>
      <w:r w:rsidRPr="00A56475">
        <w:t xml:space="preserve">Werbner, Pnina (2000) </w:t>
      </w:r>
      <w:r w:rsidR="0003264F" w:rsidRPr="00A56475">
        <w:t>‘</w:t>
      </w:r>
      <w:r w:rsidRPr="00A56475">
        <w:t>Divided Loyalties, Empowered Citizenship? Muslims in Britain</w:t>
      </w:r>
      <w:r w:rsidR="0003264F" w:rsidRPr="00A56475">
        <w:t>’</w:t>
      </w:r>
      <w:r w:rsidR="000108A8" w:rsidRPr="00A56475">
        <w:t>, Citizenship Studies</w:t>
      </w:r>
      <w:r w:rsidRPr="00A56475">
        <w:t xml:space="preserve"> 4(3): 307-24.</w:t>
      </w:r>
    </w:p>
    <w:p w:rsidR="0033375C" w:rsidRPr="00A56475" w:rsidRDefault="0033375C" w:rsidP="008F7BE2">
      <w:pPr>
        <w:spacing w:line="480" w:lineRule="auto"/>
        <w:jc w:val="both"/>
      </w:pPr>
    </w:p>
    <w:p w:rsidR="008D16C8" w:rsidRDefault="00244B70" w:rsidP="008F7BE2">
      <w:pPr>
        <w:suppressAutoHyphens w:val="0"/>
        <w:spacing w:line="480" w:lineRule="auto"/>
        <w:jc w:val="both"/>
      </w:pPr>
      <w:r w:rsidRPr="00A56475">
        <w:rPr>
          <w:color w:val="000000"/>
        </w:rPr>
        <w:lastRenderedPageBreak/>
        <w:t xml:space="preserve">Wilkinson, Paul (2001) </w:t>
      </w:r>
      <w:r w:rsidRPr="00A56475">
        <w:t>Terrorism Versus Democracy: The Liberal State Response</w:t>
      </w:r>
      <w:r w:rsidR="001869E2" w:rsidRPr="00A56475">
        <w:t>. London: Frank Cass.</w:t>
      </w:r>
    </w:p>
    <w:p w:rsidR="00D93B07" w:rsidRPr="00D93B07" w:rsidRDefault="00D93B07" w:rsidP="008F7BE2">
      <w:pPr>
        <w:suppressAutoHyphens w:val="0"/>
        <w:jc w:val="both"/>
        <w:sectPr w:rsidR="00D93B07" w:rsidRPr="00D93B07" w:rsidSect="003366D2">
          <w:footerReference w:type="even" r:id="rId19"/>
          <w:footerReference w:type="default" r:id="rId20"/>
          <w:pgSz w:w="12240" w:h="15840"/>
          <w:pgMar w:top="1440" w:right="1797" w:bottom="1440" w:left="1797" w:header="709" w:footer="709" w:gutter="0"/>
          <w:cols w:space="720"/>
          <w:titlePg/>
          <w:docGrid w:linePitch="360"/>
        </w:sectPr>
      </w:pPr>
    </w:p>
    <w:p w:rsidR="001E3B1F" w:rsidRPr="00A56475" w:rsidRDefault="001E3B1F" w:rsidP="008F7BE2">
      <w:pPr>
        <w:suppressAutoHyphens w:val="0"/>
        <w:jc w:val="both"/>
        <w:rPr>
          <w:b/>
          <w:bCs/>
          <w:vertAlign w:val="superscript"/>
        </w:rPr>
      </w:pPr>
      <w:r w:rsidRPr="00A56475">
        <w:rPr>
          <w:b/>
          <w:bCs/>
        </w:rPr>
        <w:lastRenderedPageBreak/>
        <w:t xml:space="preserve">Table </w:t>
      </w:r>
      <w:r w:rsidR="007764A8" w:rsidRPr="00A56475">
        <w:rPr>
          <w:b/>
          <w:bCs/>
        </w:rPr>
        <w:t>1</w:t>
      </w:r>
      <w:r w:rsidRPr="00A56475">
        <w:rPr>
          <w:b/>
          <w:bCs/>
          <w:noProof/>
        </w:rPr>
        <w:t xml:space="preserve">: </w:t>
      </w:r>
      <w:r w:rsidR="008E7EA7" w:rsidRPr="00A56475">
        <w:rPr>
          <w:b/>
          <w:bCs/>
          <w:noProof/>
        </w:rPr>
        <w:t>D</w:t>
      </w:r>
      <w:r w:rsidRPr="00A56475">
        <w:rPr>
          <w:b/>
          <w:bCs/>
          <w:noProof/>
        </w:rPr>
        <w:t xml:space="preserve">etentions, exclusions/deportations, charges, and releases without charges of </w:t>
      </w:r>
      <w:r w:rsidR="00D35866" w:rsidRPr="00A56475">
        <w:rPr>
          <w:b/>
          <w:bCs/>
          <w:noProof/>
        </w:rPr>
        <w:t xml:space="preserve">suspected </w:t>
      </w:r>
      <w:r w:rsidRPr="00A56475">
        <w:rPr>
          <w:b/>
          <w:bCs/>
          <w:noProof/>
        </w:rPr>
        <w:t xml:space="preserve">Irish and international terrorists in Britain, </w:t>
      </w:r>
      <w:r w:rsidRPr="00A56475">
        <w:rPr>
          <w:b/>
          <w:bCs/>
        </w:rPr>
        <w:t>1974</w:t>
      </w:r>
      <w:r w:rsidR="00D40A68" w:rsidRPr="00A56475">
        <w:rPr>
          <w:b/>
          <w:bCs/>
        </w:rPr>
        <w:t>-</w:t>
      </w:r>
      <w:r w:rsidRPr="00A56475">
        <w:rPr>
          <w:b/>
          <w:bCs/>
        </w:rPr>
        <w:t>2008</w:t>
      </w:r>
      <w:r w:rsidRPr="00A56475">
        <w:rPr>
          <w:b/>
          <w:bCs/>
          <w:vertAlign w:val="superscript"/>
        </w:rPr>
        <w:t>a</w:t>
      </w:r>
    </w:p>
    <w:p w:rsidR="00B454AD" w:rsidRPr="00A56475" w:rsidRDefault="00B454AD" w:rsidP="008F7BE2">
      <w:pPr>
        <w:suppressAutoHyphens w:val="0"/>
        <w:jc w:val="both"/>
        <w:rPr>
          <w:b/>
          <w:bCs/>
          <w:vertAlign w:val="superscript"/>
        </w:rPr>
      </w:pPr>
    </w:p>
    <w:tbl>
      <w:tblPr>
        <w:tblW w:w="0" w:type="auto"/>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17"/>
        <w:gridCol w:w="717"/>
        <w:gridCol w:w="717"/>
        <w:gridCol w:w="1234"/>
        <w:gridCol w:w="1327"/>
        <w:gridCol w:w="1195"/>
        <w:gridCol w:w="1306"/>
        <w:gridCol w:w="848"/>
        <w:gridCol w:w="913"/>
        <w:gridCol w:w="1473"/>
        <w:gridCol w:w="1473"/>
      </w:tblGrid>
      <w:tr w:rsidR="00B454AD" w:rsidRPr="00A56475" w:rsidTr="000E48F9">
        <w:trPr>
          <w:trHeight w:val="270"/>
          <w:jc w:val="center"/>
        </w:trPr>
        <w:tc>
          <w:tcPr>
            <w:tcW w:w="0" w:type="auto"/>
            <w:shd w:val="clear" w:color="auto" w:fill="auto"/>
            <w:vAlign w:val="center"/>
          </w:tcPr>
          <w:p w:rsidR="00B454AD" w:rsidRPr="00A56475" w:rsidRDefault="00B454AD" w:rsidP="008F7BE2">
            <w:pPr>
              <w:suppressAutoHyphens w:val="0"/>
              <w:jc w:val="both"/>
              <w:rPr>
                <w:rFonts w:ascii="Arial" w:hAnsi="Arial" w:cs="Arial"/>
                <w:b/>
                <w:bCs/>
                <w:sz w:val="20"/>
                <w:szCs w:val="20"/>
                <w:lang w:eastAsia="en-US"/>
              </w:rPr>
            </w:pPr>
          </w:p>
        </w:tc>
        <w:tc>
          <w:tcPr>
            <w:tcW w:w="0" w:type="auto"/>
            <w:gridSpan w:val="2"/>
            <w:shd w:val="clear" w:color="auto" w:fill="auto"/>
            <w:vAlign w:val="center"/>
          </w:tcPr>
          <w:p w:rsidR="00B454AD" w:rsidRPr="00A56475" w:rsidRDefault="00B454AD" w:rsidP="008F7BE2">
            <w:pPr>
              <w:suppressAutoHyphens w:val="0"/>
              <w:jc w:val="both"/>
              <w:rPr>
                <w:rFonts w:ascii="Arial" w:hAnsi="Arial" w:cs="Arial"/>
                <w:b/>
                <w:bCs/>
                <w:sz w:val="20"/>
                <w:szCs w:val="20"/>
                <w:lang w:eastAsia="en-US"/>
              </w:rPr>
            </w:pPr>
            <w:r w:rsidRPr="00A56475">
              <w:rPr>
                <w:rFonts w:ascii="Arial" w:hAnsi="Arial" w:cs="Arial"/>
                <w:b/>
                <w:bCs/>
                <w:sz w:val="20"/>
                <w:szCs w:val="20"/>
                <w:lang w:eastAsia="en-US"/>
              </w:rPr>
              <w:t>Detentions</w:t>
            </w:r>
          </w:p>
        </w:tc>
        <w:tc>
          <w:tcPr>
            <w:tcW w:w="0" w:type="auto"/>
            <w:gridSpan w:val="2"/>
            <w:shd w:val="clear" w:color="auto" w:fill="auto"/>
            <w:vAlign w:val="center"/>
          </w:tcPr>
          <w:p w:rsidR="00B454AD" w:rsidRPr="00A56475" w:rsidRDefault="00B454AD" w:rsidP="008F7BE2">
            <w:pPr>
              <w:suppressAutoHyphens w:val="0"/>
              <w:jc w:val="both"/>
              <w:rPr>
                <w:rFonts w:ascii="Arial" w:hAnsi="Arial" w:cs="Arial"/>
                <w:b/>
                <w:bCs/>
                <w:sz w:val="20"/>
                <w:szCs w:val="20"/>
                <w:lang w:eastAsia="en-US"/>
              </w:rPr>
            </w:pPr>
            <w:r w:rsidRPr="00A56475">
              <w:rPr>
                <w:rFonts w:ascii="Arial" w:hAnsi="Arial" w:cs="Arial"/>
                <w:b/>
                <w:bCs/>
                <w:sz w:val="20"/>
                <w:szCs w:val="20"/>
                <w:lang w:eastAsia="en-US"/>
              </w:rPr>
              <w:t>Exclusions/Deportations</w:t>
            </w:r>
          </w:p>
        </w:tc>
        <w:tc>
          <w:tcPr>
            <w:tcW w:w="0" w:type="auto"/>
            <w:gridSpan w:val="2"/>
            <w:shd w:val="clear" w:color="auto" w:fill="auto"/>
            <w:vAlign w:val="center"/>
          </w:tcPr>
          <w:p w:rsidR="00B454AD" w:rsidRPr="00A56475" w:rsidRDefault="00B454AD" w:rsidP="008F7BE2">
            <w:pPr>
              <w:suppressAutoHyphens w:val="0"/>
              <w:jc w:val="both"/>
              <w:rPr>
                <w:rFonts w:ascii="Arial" w:hAnsi="Arial" w:cs="Arial"/>
                <w:b/>
                <w:bCs/>
                <w:sz w:val="20"/>
                <w:szCs w:val="20"/>
                <w:lang w:eastAsia="en-US"/>
              </w:rPr>
            </w:pPr>
            <w:r w:rsidRPr="00A56475">
              <w:rPr>
                <w:rFonts w:ascii="Arial" w:hAnsi="Arial" w:cs="Arial"/>
                <w:b/>
                <w:bCs/>
                <w:sz w:val="20"/>
                <w:szCs w:val="20"/>
                <w:lang w:eastAsia="en-US"/>
              </w:rPr>
              <w:t xml:space="preserve">Charged under </w:t>
            </w:r>
          </w:p>
          <w:p w:rsidR="00B454AD" w:rsidRPr="00A56475" w:rsidRDefault="00B454AD" w:rsidP="008F7BE2">
            <w:pPr>
              <w:suppressAutoHyphens w:val="0"/>
              <w:jc w:val="both"/>
              <w:rPr>
                <w:rFonts w:ascii="Arial" w:hAnsi="Arial" w:cs="Arial"/>
                <w:b/>
                <w:bCs/>
                <w:sz w:val="20"/>
                <w:szCs w:val="20"/>
                <w:lang w:eastAsia="en-US"/>
              </w:rPr>
            </w:pPr>
            <w:r w:rsidRPr="00A56475">
              <w:rPr>
                <w:rFonts w:ascii="Arial" w:hAnsi="Arial" w:cs="Arial"/>
                <w:b/>
                <w:bCs/>
                <w:sz w:val="20"/>
                <w:szCs w:val="20"/>
                <w:lang w:eastAsia="en-US"/>
              </w:rPr>
              <w:t>Terrorism Acts</w:t>
            </w:r>
          </w:p>
        </w:tc>
        <w:tc>
          <w:tcPr>
            <w:tcW w:w="0" w:type="auto"/>
            <w:gridSpan w:val="2"/>
            <w:shd w:val="clear" w:color="auto" w:fill="auto"/>
            <w:vAlign w:val="center"/>
          </w:tcPr>
          <w:p w:rsidR="00B454AD" w:rsidRPr="00A56475" w:rsidRDefault="00B454AD" w:rsidP="008F7BE2">
            <w:pPr>
              <w:suppressAutoHyphens w:val="0"/>
              <w:jc w:val="both"/>
              <w:rPr>
                <w:rFonts w:ascii="Arial" w:hAnsi="Arial" w:cs="Arial"/>
                <w:b/>
                <w:bCs/>
                <w:sz w:val="20"/>
                <w:szCs w:val="20"/>
                <w:lang w:eastAsia="en-US"/>
              </w:rPr>
            </w:pPr>
            <w:r w:rsidRPr="00A56475">
              <w:rPr>
                <w:rFonts w:ascii="Arial" w:hAnsi="Arial" w:cs="Arial"/>
                <w:b/>
                <w:bCs/>
                <w:sz w:val="20"/>
                <w:szCs w:val="20"/>
                <w:lang w:eastAsia="en-US"/>
              </w:rPr>
              <w:t xml:space="preserve">Charged under </w:t>
            </w:r>
          </w:p>
          <w:p w:rsidR="00B454AD" w:rsidRPr="00A56475" w:rsidRDefault="00B454AD" w:rsidP="008F7BE2">
            <w:pPr>
              <w:suppressAutoHyphens w:val="0"/>
              <w:jc w:val="both"/>
              <w:rPr>
                <w:rFonts w:ascii="Arial" w:hAnsi="Arial" w:cs="Arial"/>
                <w:b/>
                <w:bCs/>
                <w:sz w:val="20"/>
                <w:szCs w:val="20"/>
                <w:lang w:eastAsia="en-US"/>
              </w:rPr>
            </w:pPr>
            <w:r w:rsidRPr="00A56475">
              <w:rPr>
                <w:rFonts w:ascii="Arial" w:hAnsi="Arial" w:cs="Arial"/>
                <w:b/>
                <w:bCs/>
                <w:sz w:val="20"/>
                <w:szCs w:val="20"/>
                <w:lang w:eastAsia="en-US"/>
              </w:rPr>
              <w:t>other legislation</w:t>
            </w:r>
          </w:p>
        </w:tc>
        <w:tc>
          <w:tcPr>
            <w:tcW w:w="0" w:type="auto"/>
            <w:gridSpan w:val="2"/>
            <w:shd w:val="clear" w:color="auto" w:fill="auto"/>
            <w:vAlign w:val="center"/>
          </w:tcPr>
          <w:p w:rsidR="00B454AD" w:rsidRPr="00A56475" w:rsidRDefault="00B454AD" w:rsidP="008F7BE2">
            <w:pPr>
              <w:suppressAutoHyphens w:val="0"/>
              <w:jc w:val="both"/>
              <w:rPr>
                <w:rFonts w:ascii="Arial" w:hAnsi="Arial" w:cs="Arial"/>
                <w:b/>
                <w:bCs/>
                <w:sz w:val="20"/>
                <w:szCs w:val="20"/>
                <w:lang w:eastAsia="en-US"/>
              </w:rPr>
            </w:pPr>
            <w:r w:rsidRPr="00A56475">
              <w:rPr>
                <w:rFonts w:ascii="Arial" w:hAnsi="Arial" w:cs="Arial"/>
                <w:b/>
                <w:bCs/>
                <w:sz w:val="20"/>
                <w:szCs w:val="20"/>
                <w:lang w:eastAsia="en-US"/>
              </w:rPr>
              <w:t xml:space="preserve">Released without </w:t>
            </w:r>
          </w:p>
          <w:p w:rsidR="00B454AD" w:rsidRPr="00A56475" w:rsidRDefault="00B454AD" w:rsidP="008F7BE2">
            <w:pPr>
              <w:suppressAutoHyphens w:val="0"/>
              <w:jc w:val="both"/>
              <w:rPr>
                <w:rFonts w:ascii="Arial" w:hAnsi="Arial" w:cs="Arial"/>
                <w:b/>
                <w:bCs/>
                <w:sz w:val="20"/>
                <w:szCs w:val="20"/>
                <w:lang w:eastAsia="en-US"/>
              </w:rPr>
            </w:pPr>
            <w:r w:rsidRPr="00A56475">
              <w:rPr>
                <w:rFonts w:ascii="Arial" w:hAnsi="Arial" w:cs="Arial"/>
                <w:b/>
                <w:bCs/>
                <w:sz w:val="20"/>
                <w:szCs w:val="20"/>
                <w:lang w:eastAsia="en-US"/>
              </w:rPr>
              <w:t>charge</w:t>
            </w:r>
          </w:p>
        </w:tc>
      </w:tr>
      <w:tr w:rsidR="00B454AD" w:rsidRPr="00A56475" w:rsidTr="000E48F9">
        <w:trPr>
          <w:trHeight w:val="525"/>
          <w:jc w:val="center"/>
        </w:trPr>
        <w:tc>
          <w:tcPr>
            <w:tcW w:w="0" w:type="auto"/>
            <w:shd w:val="clear" w:color="auto" w:fill="auto"/>
            <w:vAlign w:val="center"/>
          </w:tcPr>
          <w:p w:rsidR="00B454AD" w:rsidRPr="00A56475" w:rsidRDefault="00B454AD" w:rsidP="008F7BE2">
            <w:pPr>
              <w:suppressAutoHyphens w:val="0"/>
              <w:jc w:val="both"/>
              <w:rPr>
                <w:rFonts w:ascii="Arial" w:hAnsi="Arial" w:cs="Arial"/>
                <w:b/>
                <w:bCs/>
                <w:sz w:val="20"/>
                <w:szCs w:val="20"/>
                <w:lang w:eastAsia="en-US"/>
              </w:rPr>
            </w:pPr>
            <w:r w:rsidRPr="00A56475">
              <w:rPr>
                <w:rFonts w:ascii="Arial" w:hAnsi="Arial" w:cs="Arial"/>
                <w:b/>
                <w:bCs/>
                <w:sz w:val="20"/>
                <w:szCs w:val="20"/>
                <w:lang w:eastAsia="en-US"/>
              </w:rPr>
              <w:t>Origins</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Irish</w:t>
            </w:r>
            <w:r w:rsidRPr="00A56475">
              <w:rPr>
                <w:rFonts w:ascii="Arial" w:hAnsi="Arial" w:cs="Arial"/>
                <w:sz w:val="20"/>
                <w:szCs w:val="20"/>
                <w:vertAlign w:val="superscript"/>
                <w:lang w:eastAsia="en-US"/>
              </w:rPr>
              <w:t>b</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Int’al</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Irish</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Int’al</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Irish</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Int’al</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Irish</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Int’al</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Irish</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Int’al</w:t>
            </w:r>
          </w:p>
        </w:tc>
      </w:tr>
      <w:tr w:rsidR="00B454AD" w:rsidRPr="00A56475" w:rsidTr="000E48F9">
        <w:trPr>
          <w:trHeight w:val="525"/>
          <w:jc w:val="center"/>
        </w:trPr>
        <w:tc>
          <w:tcPr>
            <w:tcW w:w="0" w:type="auto"/>
            <w:shd w:val="clear" w:color="auto" w:fill="auto"/>
            <w:vAlign w:val="center"/>
          </w:tcPr>
          <w:p w:rsidR="00B454AD" w:rsidRPr="00A56475" w:rsidRDefault="00B454AD" w:rsidP="008F7BE2">
            <w:pPr>
              <w:suppressAutoHyphens w:val="0"/>
              <w:jc w:val="both"/>
              <w:rPr>
                <w:rFonts w:ascii="Arial" w:hAnsi="Arial" w:cs="Arial"/>
                <w:b/>
                <w:bCs/>
                <w:sz w:val="20"/>
                <w:szCs w:val="20"/>
                <w:lang w:eastAsia="en-US"/>
              </w:rPr>
            </w:pPr>
            <w:r w:rsidRPr="00A56475">
              <w:rPr>
                <w:rFonts w:ascii="Arial" w:hAnsi="Arial" w:cs="Arial"/>
                <w:b/>
                <w:bCs/>
                <w:sz w:val="20"/>
                <w:szCs w:val="20"/>
                <w:lang w:eastAsia="en-US"/>
              </w:rPr>
              <w:t>Cases</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7,546</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2,024</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414</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56</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475 (6.3%)</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237 (11.7%)</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930</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444</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6,477 (86.9%)</w:t>
            </w:r>
          </w:p>
        </w:tc>
        <w:tc>
          <w:tcPr>
            <w:tcW w:w="0" w:type="auto"/>
            <w:shd w:val="clear" w:color="auto" w:fill="auto"/>
            <w:vAlign w:val="center"/>
          </w:tcPr>
          <w:p w:rsidR="00B454AD" w:rsidRPr="00A56475" w:rsidRDefault="00B454AD" w:rsidP="008F7BE2">
            <w:pPr>
              <w:suppressAutoHyphens w:val="0"/>
              <w:jc w:val="both"/>
              <w:rPr>
                <w:rFonts w:ascii="Arial" w:hAnsi="Arial" w:cs="Arial"/>
                <w:sz w:val="20"/>
                <w:szCs w:val="20"/>
                <w:lang w:eastAsia="en-US"/>
              </w:rPr>
            </w:pPr>
            <w:r w:rsidRPr="00A56475">
              <w:rPr>
                <w:rFonts w:ascii="Arial" w:hAnsi="Arial" w:cs="Arial"/>
                <w:sz w:val="20"/>
                <w:szCs w:val="20"/>
                <w:lang w:eastAsia="en-US"/>
              </w:rPr>
              <w:t>1,074 (53.1%)</w:t>
            </w:r>
          </w:p>
        </w:tc>
      </w:tr>
    </w:tbl>
    <w:p w:rsidR="00B454AD" w:rsidRPr="00A56475" w:rsidRDefault="00B454AD" w:rsidP="008F7BE2">
      <w:pPr>
        <w:suppressAutoHyphens w:val="0"/>
        <w:jc w:val="both"/>
        <w:rPr>
          <w:rFonts w:ascii="Arial" w:hAnsi="Arial" w:cs="Arial"/>
          <w:sz w:val="20"/>
          <w:szCs w:val="20"/>
        </w:rPr>
      </w:pPr>
      <w:r w:rsidRPr="00A56475">
        <w:rPr>
          <w:rFonts w:ascii="Arial" w:hAnsi="Arial" w:cs="Arial"/>
          <w:sz w:val="20"/>
          <w:szCs w:val="20"/>
          <w:vertAlign w:val="superscript"/>
        </w:rPr>
        <w:t>a</w:t>
      </w:r>
      <w:r w:rsidRPr="00A56475">
        <w:rPr>
          <w:rFonts w:ascii="Arial" w:hAnsi="Arial" w:cs="Arial"/>
          <w:sz w:val="20"/>
          <w:szCs w:val="20"/>
        </w:rPr>
        <w:t xml:space="preserve"> Compiled from: Home Office (1984, 1991, 1997, 2000, 2009b)</w:t>
      </w:r>
    </w:p>
    <w:p w:rsidR="001E3B1F" w:rsidRPr="00A56475" w:rsidRDefault="00B454AD" w:rsidP="008F7BE2">
      <w:pPr>
        <w:suppressAutoHyphens w:val="0"/>
        <w:jc w:val="both"/>
        <w:rPr>
          <w:rFonts w:ascii="Arial" w:hAnsi="Arial" w:cs="Arial"/>
          <w:sz w:val="20"/>
          <w:szCs w:val="20"/>
        </w:rPr>
      </w:pPr>
      <w:r w:rsidRPr="00A56475">
        <w:rPr>
          <w:rFonts w:ascii="Arial" w:hAnsi="Arial" w:cs="Arial"/>
          <w:sz w:val="20"/>
          <w:szCs w:val="20"/>
          <w:vertAlign w:val="superscript"/>
        </w:rPr>
        <w:t xml:space="preserve">b </w:t>
      </w:r>
      <w:r w:rsidRPr="00A56475">
        <w:rPr>
          <w:rFonts w:ascii="Arial" w:hAnsi="Arial" w:cs="Arial"/>
          <w:sz w:val="20"/>
          <w:szCs w:val="20"/>
        </w:rPr>
        <w:t>Data on Irish cases cover the period 29 November 1974 to 11 September 2001</w:t>
      </w:r>
      <w:r w:rsidR="003D1C32" w:rsidRPr="00A56475">
        <w:rPr>
          <w:rFonts w:ascii="Arial" w:hAnsi="Arial" w:cs="Arial"/>
          <w:sz w:val="20"/>
          <w:szCs w:val="20"/>
        </w:rPr>
        <w:t>.</w:t>
      </w:r>
      <w:r w:rsidRPr="00A56475">
        <w:rPr>
          <w:rFonts w:ascii="Arial" w:hAnsi="Arial" w:cs="Arial"/>
          <w:sz w:val="20"/>
          <w:szCs w:val="20"/>
        </w:rPr>
        <w:t xml:space="preserve"> </w:t>
      </w:r>
      <w:r w:rsidR="003D1C32" w:rsidRPr="00A56475">
        <w:rPr>
          <w:rFonts w:ascii="Arial" w:hAnsi="Arial" w:cs="Arial"/>
          <w:sz w:val="20"/>
          <w:szCs w:val="20"/>
        </w:rPr>
        <w:t>D</w:t>
      </w:r>
      <w:r w:rsidRPr="00A56475">
        <w:rPr>
          <w:rFonts w:ascii="Arial" w:hAnsi="Arial" w:cs="Arial"/>
          <w:sz w:val="20"/>
          <w:szCs w:val="20"/>
        </w:rPr>
        <w:t>ata</w:t>
      </w:r>
      <w:r w:rsidRPr="00A56475">
        <w:rPr>
          <w:rFonts w:ascii="Arial" w:hAnsi="Arial" w:cs="Arial"/>
          <w:sz w:val="20"/>
          <w:szCs w:val="20"/>
          <w:vertAlign w:val="superscript"/>
        </w:rPr>
        <w:t xml:space="preserve"> </w:t>
      </w:r>
      <w:r w:rsidRPr="00A56475">
        <w:rPr>
          <w:rFonts w:ascii="Arial" w:hAnsi="Arial" w:cs="Arial"/>
          <w:sz w:val="20"/>
          <w:szCs w:val="20"/>
        </w:rPr>
        <w:t xml:space="preserve">on international cases were not included in </w:t>
      </w:r>
      <w:r w:rsidR="003D1C32" w:rsidRPr="00A56475">
        <w:rPr>
          <w:rFonts w:ascii="Arial" w:hAnsi="Arial" w:cs="Arial"/>
          <w:sz w:val="20"/>
          <w:szCs w:val="20"/>
        </w:rPr>
        <w:t xml:space="preserve">the </w:t>
      </w:r>
      <w:r w:rsidRPr="00A56475">
        <w:rPr>
          <w:rFonts w:ascii="Arial" w:hAnsi="Arial" w:cs="Arial"/>
          <w:sz w:val="20"/>
          <w:szCs w:val="20"/>
        </w:rPr>
        <w:t>statistics until 22 March 1984, when the Prevention of Terrorism (Temporary Provisions) Act 1984 came into force.</w:t>
      </w:r>
    </w:p>
    <w:p w:rsidR="00736566" w:rsidRPr="00A56475" w:rsidRDefault="00736566" w:rsidP="008F7BE2">
      <w:pPr>
        <w:suppressAutoHyphens w:val="0"/>
        <w:jc w:val="both"/>
        <w:rPr>
          <w:rFonts w:ascii="Arial" w:hAnsi="Arial" w:cs="Arial"/>
          <w:sz w:val="20"/>
          <w:szCs w:val="20"/>
        </w:rPr>
      </w:pPr>
    </w:p>
    <w:p w:rsidR="008D16C8" w:rsidRPr="00A56475" w:rsidRDefault="00736566" w:rsidP="008F7BE2">
      <w:pPr>
        <w:pStyle w:val="Caption"/>
        <w:suppressAutoHyphens w:val="0"/>
        <w:jc w:val="both"/>
        <w:rPr>
          <w:sz w:val="24"/>
          <w:szCs w:val="24"/>
        </w:rPr>
      </w:pPr>
      <w:r w:rsidRPr="00A56475">
        <w:rPr>
          <w:sz w:val="24"/>
          <w:szCs w:val="24"/>
        </w:rPr>
        <w:t>Table 2: Key events, 1974-2007</w:t>
      </w:r>
      <w:bookmarkStart w:id="3" w:name="_Toc233005646"/>
    </w:p>
    <w:p w:rsidR="00736566" w:rsidRPr="00A56475" w:rsidRDefault="00736566" w:rsidP="008F7BE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960"/>
      </w:tblGrid>
      <w:tr w:rsidR="00736566" w:rsidRPr="00A56475" w:rsidTr="00070A52">
        <w:tc>
          <w:tcPr>
            <w:tcW w:w="4503" w:type="dxa"/>
            <w:vAlign w:val="center"/>
          </w:tcPr>
          <w:p w:rsidR="00736566" w:rsidRPr="00A56475" w:rsidRDefault="00736566" w:rsidP="008F7BE2">
            <w:pPr>
              <w:suppressAutoHyphens w:val="0"/>
              <w:jc w:val="both"/>
              <w:rPr>
                <w:rFonts w:ascii="Arial" w:hAnsi="Arial" w:cs="Arial"/>
                <w:b/>
                <w:bCs/>
                <w:sz w:val="20"/>
                <w:szCs w:val="20"/>
              </w:rPr>
            </w:pPr>
            <w:r w:rsidRPr="00A56475">
              <w:rPr>
                <w:rFonts w:ascii="Arial" w:hAnsi="Arial" w:cs="Arial"/>
                <w:b/>
                <w:bCs/>
                <w:sz w:val="20"/>
                <w:szCs w:val="20"/>
              </w:rPr>
              <w:t>Irish-related events</w:t>
            </w:r>
          </w:p>
        </w:tc>
        <w:tc>
          <w:tcPr>
            <w:tcW w:w="3960" w:type="dxa"/>
            <w:vAlign w:val="center"/>
          </w:tcPr>
          <w:p w:rsidR="00736566" w:rsidRPr="00A56475" w:rsidRDefault="00736566" w:rsidP="008F7BE2">
            <w:pPr>
              <w:suppressAutoHyphens w:val="0"/>
              <w:jc w:val="both"/>
              <w:rPr>
                <w:rFonts w:ascii="Arial" w:hAnsi="Arial" w:cs="Arial"/>
                <w:b/>
                <w:bCs/>
                <w:sz w:val="20"/>
                <w:szCs w:val="20"/>
              </w:rPr>
            </w:pPr>
            <w:r w:rsidRPr="00A56475">
              <w:rPr>
                <w:rFonts w:ascii="Arial" w:hAnsi="Arial" w:cs="Arial"/>
                <w:b/>
                <w:bCs/>
                <w:sz w:val="20"/>
                <w:szCs w:val="20"/>
              </w:rPr>
              <w:t>Muslim-related events</w:t>
            </w:r>
          </w:p>
        </w:tc>
      </w:tr>
      <w:tr w:rsidR="00736566" w:rsidRPr="00A56475" w:rsidTr="00070A52">
        <w:tc>
          <w:tcPr>
            <w:tcW w:w="4503"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21 November 1974: Birmingham pub bombings</w:t>
            </w:r>
          </w:p>
        </w:tc>
        <w:tc>
          <w:tcPr>
            <w:tcW w:w="3960"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14 February 1989: fatwa on Salman Rushdie</w:t>
            </w:r>
          </w:p>
        </w:tc>
      </w:tr>
      <w:tr w:rsidR="00736566" w:rsidRPr="00A56475" w:rsidTr="00070A52">
        <w:tc>
          <w:tcPr>
            <w:tcW w:w="4503"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29 November 1974: adoption of the Prevention of Terrorism (Temporary Provisions) Act</w:t>
            </w:r>
          </w:p>
        </w:tc>
        <w:tc>
          <w:tcPr>
            <w:tcW w:w="3960"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Spring/Summer 2001: race riots</w:t>
            </w:r>
          </w:p>
        </w:tc>
      </w:tr>
      <w:tr w:rsidR="00736566" w:rsidRPr="00A56475" w:rsidTr="00070A52">
        <w:tc>
          <w:tcPr>
            <w:tcW w:w="4503"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3 December 1974: arrest of the Maguire Seven</w:t>
            </w:r>
          </w:p>
        </w:tc>
        <w:tc>
          <w:tcPr>
            <w:tcW w:w="3960"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9 March 2004: release of the Tipton Three</w:t>
            </w:r>
          </w:p>
        </w:tc>
      </w:tr>
      <w:tr w:rsidR="00736566" w:rsidRPr="00A56475" w:rsidTr="00070A52">
        <w:tc>
          <w:tcPr>
            <w:tcW w:w="4503"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17 December 1983: Harrods Bombing</w:t>
            </w:r>
          </w:p>
        </w:tc>
        <w:tc>
          <w:tcPr>
            <w:tcW w:w="3960"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7 and 21 July 2005: London bombings</w:t>
            </w:r>
          </w:p>
        </w:tc>
      </w:tr>
      <w:tr w:rsidR="00736566" w:rsidRPr="00A56475" w:rsidTr="00070A52">
        <w:tc>
          <w:tcPr>
            <w:tcW w:w="4503"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19 October 1989: release of the Guildford Four</w:t>
            </w:r>
          </w:p>
        </w:tc>
        <w:tc>
          <w:tcPr>
            <w:tcW w:w="3960"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22 July 2005: shooting of Jean-Charles De Menezes</w:t>
            </w:r>
          </w:p>
        </w:tc>
      </w:tr>
      <w:tr w:rsidR="00736566" w:rsidRPr="00A56475" w:rsidTr="00070A52">
        <w:tc>
          <w:tcPr>
            <w:tcW w:w="4503"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14 March 1991: release of the Birmingham Six</w:t>
            </w:r>
          </w:p>
        </w:tc>
        <w:tc>
          <w:tcPr>
            <w:tcW w:w="3960"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30 March 2006: adoption of 2006 Terrorism Act</w:t>
            </w:r>
          </w:p>
        </w:tc>
      </w:tr>
      <w:tr w:rsidR="00736566" w:rsidRPr="00A56475" w:rsidTr="00070A52">
        <w:tc>
          <w:tcPr>
            <w:tcW w:w="4503"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26 June 1991: final exoneration of the Maguire Seven</w:t>
            </w:r>
          </w:p>
        </w:tc>
        <w:tc>
          <w:tcPr>
            <w:tcW w:w="3960"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2 June 2006: Forest Gate anti-terrorist Raid</w:t>
            </w:r>
          </w:p>
        </w:tc>
      </w:tr>
      <w:tr w:rsidR="00736566" w:rsidRPr="00A56475" w:rsidTr="00070A52">
        <w:tc>
          <w:tcPr>
            <w:tcW w:w="4503"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23 September 1996: shooting of Diarmuid O’Neill</w:t>
            </w:r>
          </w:p>
        </w:tc>
        <w:tc>
          <w:tcPr>
            <w:tcW w:w="3960"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5 October 2006: Jack Straw veil controversy</w:t>
            </w:r>
          </w:p>
        </w:tc>
      </w:tr>
      <w:tr w:rsidR="00736566" w:rsidRPr="00A56475" w:rsidTr="00070A52">
        <w:tc>
          <w:tcPr>
            <w:tcW w:w="4503"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10 April 1998: Good Friday Agreement</w:t>
            </w:r>
          </w:p>
        </w:tc>
        <w:tc>
          <w:tcPr>
            <w:tcW w:w="3960" w:type="dxa"/>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31 January 2007: Birmingham anti-terrorism raid</w:t>
            </w:r>
          </w:p>
        </w:tc>
      </w:tr>
      <w:tr w:rsidR="00736566" w:rsidRPr="00A56475" w:rsidTr="00070A52">
        <w:tc>
          <w:tcPr>
            <w:tcW w:w="0" w:type="auto"/>
            <w:gridSpan w:val="2"/>
            <w:vAlign w:val="center"/>
          </w:tcPr>
          <w:p w:rsidR="00736566" w:rsidRPr="00A56475" w:rsidRDefault="00736566" w:rsidP="008F7BE2">
            <w:pPr>
              <w:suppressAutoHyphens w:val="0"/>
              <w:jc w:val="both"/>
              <w:rPr>
                <w:rFonts w:ascii="Arial" w:hAnsi="Arial" w:cs="Arial"/>
                <w:sz w:val="20"/>
                <w:szCs w:val="20"/>
              </w:rPr>
            </w:pPr>
            <w:r w:rsidRPr="00A56475">
              <w:rPr>
                <w:rFonts w:ascii="Arial" w:hAnsi="Arial" w:cs="Arial"/>
                <w:sz w:val="20"/>
                <w:szCs w:val="20"/>
              </w:rPr>
              <w:t>20 July 2000: adoption of Terrorism Act 2000</w:t>
            </w:r>
          </w:p>
        </w:tc>
      </w:tr>
    </w:tbl>
    <w:p w:rsidR="00736566" w:rsidRPr="00A56475" w:rsidRDefault="00736566" w:rsidP="008F7BE2">
      <w:pPr>
        <w:jc w:val="both"/>
        <w:sectPr w:rsidR="00736566" w:rsidRPr="00A56475" w:rsidSect="008D16C8">
          <w:pgSz w:w="15840" w:h="12240" w:orient="landscape"/>
          <w:pgMar w:top="1797" w:right="1440" w:bottom="1797" w:left="1440" w:header="709" w:footer="709" w:gutter="0"/>
          <w:cols w:space="720"/>
          <w:titlePg/>
          <w:docGrid w:linePitch="360"/>
        </w:sectPr>
      </w:pPr>
    </w:p>
    <w:p w:rsidR="00F649A8" w:rsidRPr="00A56475" w:rsidRDefault="00597A2B" w:rsidP="008F7BE2">
      <w:pPr>
        <w:jc w:val="both"/>
        <w:rPr>
          <w:b/>
          <w:bCs/>
        </w:rPr>
      </w:pPr>
      <w:r w:rsidRPr="00A56475">
        <w:rPr>
          <w:b/>
          <w:bCs/>
        </w:rPr>
        <w:lastRenderedPageBreak/>
        <w:t>Figure 1</w:t>
      </w:r>
      <w:r w:rsidR="00F649A8" w:rsidRPr="00A56475">
        <w:rPr>
          <w:b/>
          <w:bCs/>
        </w:rPr>
        <w:t>: Number of news items by event, 1974-2007</w:t>
      </w:r>
    </w:p>
    <w:p w:rsidR="00F649A8" w:rsidRPr="00A56475" w:rsidRDefault="00F649A8" w:rsidP="008F7BE2">
      <w:pPr>
        <w:jc w:val="both"/>
      </w:pPr>
    </w:p>
    <w:p w:rsidR="00F649A8" w:rsidRPr="00A56475" w:rsidRDefault="00B45F19" w:rsidP="008F7BE2">
      <w:pPr>
        <w:jc w:val="both"/>
      </w:pPr>
      <w:r>
        <w:rPr>
          <w:noProof/>
          <w:lang w:val="en-US" w:eastAsia="en-US"/>
        </w:rPr>
        <w:drawing>
          <wp:inline distT="0" distB="0" distL="0" distR="0">
            <wp:extent cx="8213090" cy="507936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649A8" w:rsidRPr="00A56475" w:rsidRDefault="00F649A8" w:rsidP="008F7BE2">
      <w:pPr>
        <w:suppressAutoHyphens w:val="0"/>
        <w:jc w:val="both"/>
        <w:sectPr w:rsidR="00F649A8" w:rsidRPr="00A56475" w:rsidSect="00C66CC5">
          <w:pgSz w:w="15840" w:h="12240" w:orient="landscape"/>
          <w:pgMar w:top="1797" w:right="1440" w:bottom="1797" w:left="1440" w:header="709" w:footer="709" w:gutter="0"/>
          <w:cols w:space="720"/>
          <w:titlePg/>
          <w:docGrid w:linePitch="360"/>
        </w:sectPr>
      </w:pPr>
    </w:p>
    <w:p w:rsidR="0052526F" w:rsidRPr="00A56475" w:rsidRDefault="0052526F" w:rsidP="008F7BE2">
      <w:pPr>
        <w:pStyle w:val="Caption"/>
        <w:suppressAutoHyphens w:val="0"/>
        <w:jc w:val="both"/>
        <w:rPr>
          <w:sz w:val="24"/>
          <w:szCs w:val="24"/>
        </w:rPr>
      </w:pPr>
      <w:bookmarkStart w:id="4" w:name="_Toc233005650"/>
      <w:bookmarkEnd w:id="3"/>
      <w:r w:rsidRPr="00A56475">
        <w:rPr>
          <w:sz w:val="24"/>
          <w:szCs w:val="24"/>
        </w:rPr>
        <w:lastRenderedPageBreak/>
        <w:t xml:space="preserve">Table </w:t>
      </w:r>
      <w:r w:rsidR="00846694" w:rsidRPr="00A56475">
        <w:rPr>
          <w:sz w:val="24"/>
          <w:szCs w:val="24"/>
        </w:rPr>
        <w:t>3</w:t>
      </w:r>
      <w:r w:rsidRPr="00A56475">
        <w:rPr>
          <w:sz w:val="24"/>
          <w:szCs w:val="24"/>
        </w:rPr>
        <w:t xml:space="preserve">: Top 20 terms used in the headlines of Irish- and Muslim-related </w:t>
      </w:r>
      <w:r w:rsidR="00D20803" w:rsidRPr="00A56475">
        <w:rPr>
          <w:sz w:val="24"/>
          <w:szCs w:val="24"/>
        </w:rPr>
        <w:t>events</w:t>
      </w:r>
      <w:bookmarkEnd w:id="4"/>
      <w:r w:rsidRPr="00A56475">
        <w:rPr>
          <w:sz w:val="24"/>
          <w:szCs w:val="24"/>
        </w:rPr>
        <w:t>, 1974</w:t>
      </w:r>
      <w:r w:rsidR="00D40A68" w:rsidRPr="00A56475">
        <w:rPr>
          <w:sz w:val="24"/>
          <w:szCs w:val="24"/>
        </w:rPr>
        <w:t>-</w:t>
      </w:r>
      <w:r w:rsidRPr="00A56475">
        <w:rPr>
          <w:sz w:val="24"/>
          <w:szCs w:val="24"/>
        </w:rPr>
        <w:t>2007</w:t>
      </w:r>
    </w:p>
    <w:p w:rsidR="00FB6E57" w:rsidRPr="00A56475" w:rsidRDefault="00FB6E57" w:rsidP="008F7BE2">
      <w:pPr>
        <w:jc w:val="both"/>
      </w:pPr>
    </w:p>
    <w:tbl>
      <w:tblPr>
        <w:tblW w:w="0" w:type="auto"/>
        <w:jc w:val="center"/>
        <w:tblLook w:val="0000" w:firstRow="0" w:lastRow="0" w:firstColumn="0" w:lastColumn="0" w:noHBand="0" w:noVBand="0"/>
      </w:tblPr>
      <w:tblGrid>
        <w:gridCol w:w="1962"/>
        <w:gridCol w:w="550"/>
        <w:gridCol w:w="2228"/>
        <w:gridCol w:w="550"/>
      </w:tblGrid>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snapToGrid w:val="0"/>
              <w:jc w:val="both"/>
              <w:rPr>
                <w:rFonts w:ascii="Arial" w:hAnsi="Arial" w:cs="Arial"/>
                <w:b/>
                <w:bCs/>
                <w:sz w:val="20"/>
                <w:szCs w:val="20"/>
              </w:rPr>
            </w:pPr>
            <w:r w:rsidRPr="00A56475">
              <w:rPr>
                <w:rFonts w:ascii="Arial" w:hAnsi="Arial" w:cs="Arial"/>
                <w:b/>
                <w:bCs/>
                <w:sz w:val="20"/>
                <w:szCs w:val="20"/>
              </w:rPr>
              <w:t>Irish-related terms</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snapToGrid w:val="0"/>
              <w:jc w:val="both"/>
              <w:rPr>
                <w:rFonts w:ascii="Arial" w:hAnsi="Arial" w:cs="Arial"/>
                <w:b/>
                <w:bCs/>
                <w:sz w:val="20"/>
                <w:szCs w:val="20"/>
              </w:rPr>
            </w:pPr>
            <w:r w:rsidRPr="00A56475">
              <w:rPr>
                <w:rFonts w:ascii="Arial" w:hAnsi="Arial" w:cs="Arial"/>
                <w:b/>
                <w:bCs/>
                <w:sz w:val="20"/>
                <w:szCs w:val="20"/>
              </w:rPr>
              <w:t>N</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snapToGrid w:val="0"/>
              <w:jc w:val="both"/>
              <w:rPr>
                <w:rFonts w:ascii="Arial" w:hAnsi="Arial" w:cs="Arial"/>
                <w:color w:val="000000"/>
                <w:sz w:val="20"/>
                <w:szCs w:val="20"/>
              </w:rPr>
            </w:pPr>
            <w:r w:rsidRPr="00A56475">
              <w:rPr>
                <w:rFonts w:ascii="Arial" w:hAnsi="Arial" w:cs="Arial"/>
                <w:b/>
                <w:bCs/>
                <w:sz w:val="20"/>
                <w:szCs w:val="20"/>
              </w:rPr>
              <w:t>Muslim-related terms</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snapToGrid w:val="0"/>
              <w:jc w:val="both"/>
              <w:rPr>
                <w:rFonts w:ascii="Arial" w:hAnsi="Arial" w:cs="Arial"/>
                <w:b/>
                <w:bCs/>
                <w:sz w:val="20"/>
                <w:szCs w:val="20"/>
              </w:rPr>
            </w:pPr>
            <w:r w:rsidRPr="00A56475">
              <w:rPr>
                <w:rFonts w:ascii="Arial" w:hAnsi="Arial" w:cs="Arial"/>
                <w:b/>
                <w:bCs/>
                <w:sz w:val="20"/>
                <w:szCs w:val="20"/>
              </w:rPr>
              <w:t>N</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PEACE</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132</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POLICE</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204</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IRA</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124</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TERROR</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170</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ULSTER</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107</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RUSHDIE</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100</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SIX</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MUSLIM</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99</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BOMB</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71</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BLAIR (Sir Ian)</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95</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POLICE</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69</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VEIL</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94</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BLAIR (Tony)</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66</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MUSLIMS</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79</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BIRMINGHAM</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LONDON</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72</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DEAL</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51</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RACE</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67</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YES</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BRITAIN</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62</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IRELAND</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ATTACK</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57</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IRISH</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BILL</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48</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SINN FEIN</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39</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OUR</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48</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VOTE</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39</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CHIEF</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47</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FOUR</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MET</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46</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JUSTICE</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34</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STRAW</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46</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GUILDFORD</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33</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RIOTS</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45</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TERROR</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DAY</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44</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VICTIMS</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RIOT</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44</w:t>
            </w:r>
          </w:p>
        </w:tc>
      </w:tr>
      <w:tr w:rsidR="00372EA5" w:rsidRPr="00A56475" w:rsidTr="000E48F9">
        <w:trPr>
          <w:trHeight w:val="255"/>
          <w:jc w:val="center"/>
        </w:trPr>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RELEASE</w:t>
            </w:r>
          </w:p>
        </w:tc>
        <w:tc>
          <w:tcPr>
            <w:tcW w:w="0" w:type="auto"/>
            <w:tcBorders>
              <w:top w:val="single" w:sz="4" w:space="0" w:color="000000"/>
              <w:left w:val="single" w:sz="4" w:space="0" w:color="000000"/>
              <w:bottom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US</w:t>
            </w:r>
          </w:p>
        </w:tc>
        <w:tc>
          <w:tcPr>
            <w:tcW w:w="0" w:type="auto"/>
            <w:tcBorders>
              <w:top w:val="single" w:sz="4" w:space="0" w:color="000000"/>
              <w:left w:val="single" w:sz="4" w:space="0" w:color="000000"/>
              <w:bottom w:val="single" w:sz="4" w:space="0" w:color="000000"/>
              <w:right w:val="single" w:sz="4" w:space="0" w:color="000000"/>
            </w:tcBorders>
            <w:vAlign w:val="center"/>
          </w:tcPr>
          <w:p w:rsidR="00372EA5" w:rsidRPr="00A56475" w:rsidRDefault="00372EA5" w:rsidP="008F7BE2">
            <w:pPr>
              <w:suppressAutoHyphens w:val="0"/>
              <w:jc w:val="both"/>
              <w:rPr>
                <w:rFonts w:ascii="Arial" w:hAnsi="Arial" w:cs="Arial"/>
                <w:color w:val="000000"/>
                <w:sz w:val="20"/>
                <w:szCs w:val="20"/>
              </w:rPr>
            </w:pPr>
            <w:r w:rsidRPr="00A56475">
              <w:rPr>
                <w:rFonts w:ascii="Arial" w:hAnsi="Arial" w:cs="Arial"/>
                <w:color w:val="000000"/>
                <w:sz w:val="20"/>
                <w:szCs w:val="20"/>
              </w:rPr>
              <w:t>44</w:t>
            </w:r>
          </w:p>
        </w:tc>
      </w:tr>
    </w:tbl>
    <w:p w:rsidR="00FB6E57" w:rsidRPr="00A56475" w:rsidRDefault="00FB6E57" w:rsidP="008F7BE2">
      <w:pPr>
        <w:jc w:val="both"/>
      </w:pPr>
    </w:p>
    <w:p w:rsidR="0052526F" w:rsidRPr="00A56475" w:rsidRDefault="0052526F" w:rsidP="008F7BE2">
      <w:pPr>
        <w:suppressAutoHyphens w:val="0"/>
        <w:jc w:val="both"/>
      </w:pPr>
    </w:p>
    <w:p w:rsidR="005B4B9B" w:rsidRPr="00A56475" w:rsidRDefault="005B4B9B" w:rsidP="008F7BE2">
      <w:pPr>
        <w:pStyle w:val="Caption"/>
        <w:suppressAutoHyphens w:val="0"/>
        <w:jc w:val="both"/>
        <w:rPr>
          <w:sz w:val="24"/>
          <w:szCs w:val="24"/>
        </w:rPr>
      </w:pPr>
      <w:bookmarkStart w:id="5" w:name="_Toc233005651"/>
    </w:p>
    <w:bookmarkEnd w:id="5"/>
    <w:p w:rsidR="003366D2" w:rsidRPr="00A56475" w:rsidRDefault="003366D2" w:rsidP="008F7BE2">
      <w:pPr>
        <w:suppressAutoHyphens w:val="0"/>
        <w:jc w:val="both"/>
      </w:pPr>
    </w:p>
    <w:p w:rsidR="005D17B9" w:rsidRPr="00A56475" w:rsidRDefault="005D17B9" w:rsidP="008F7BE2">
      <w:pPr>
        <w:suppressAutoHyphens w:val="0"/>
        <w:jc w:val="both"/>
        <w:sectPr w:rsidR="005D17B9" w:rsidRPr="00A56475" w:rsidSect="003366D2">
          <w:pgSz w:w="12240" w:h="15840"/>
          <w:pgMar w:top="1440" w:right="1797" w:bottom="1440" w:left="1797" w:header="709" w:footer="709" w:gutter="0"/>
          <w:cols w:space="720"/>
          <w:titlePg/>
          <w:docGrid w:linePitch="360"/>
        </w:sectPr>
      </w:pPr>
    </w:p>
    <w:p w:rsidR="002D063B" w:rsidRPr="00A56475" w:rsidRDefault="00846694" w:rsidP="008F7BE2">
      <w:pPr>
        <w:suppressAutoHyphens w:val="0"/>
        <w:jc w:val="both"/>
        <w:rPr>
          <w:b/>
          <w:bCs/>
        </w:rPr>
      </w:pPr>
      <w:r w:rsidRPr="00A56475">
        <w:rPr>
          <w:b/>
          <w:bCs/>
        </w:rPr>
        <w:lastRenderedPageBreak/>
        <w:t>Figure 2</w:t>
      </w:r>
      <w:r w:rsidR="002D063B" w:rsidRPr="00A56475">
        <w:rPr>
          <w:b/>
          <w:bCs/>
        </w:rPr>
        <w:t xml:space="preserve">: Number of </w:t>
      </w:r>
      <w:r w:rsidR="00AD3F10" w:rsidRPr="00A56475">
        <w:rPr>
          <w:b/>
          <w:bCs/>
        </w:rPr>
        <w:t>coded news i</w:t>
      </w:r>
      <w:r w:rsidR="002D063B" w:rsidRPr="00A56475">
        <w:rPr>
          <w:b/>
          <w:bCs/>
        </w:rPr>
        <w:t xml:space="preserve">tems </w:t>
      </w:r>
      <w:r w:rsidR="00AD3F10" w:rsidRPr="00A56475">
        <w:rPr>
          <w:b/>
          <w:bCs/>
        </w:rPr>
        <w:t xml:space="preserve">per </w:t>
      </w:r>
      <w:r w:rsidR="00A12C2D" w:rsidRPr="00A56475">
        <w:rPr>
          <w:b/>
          <w:bCs/>
        </w:rPr>
        <w:t xml:space="preserve">coding </w:t>
      </w:r>
      <w:r w:rsidR="00AD3F10" w:rsidRPr="00A56475">
        <w:rPr>
          <w:b/>
          <w:bCs/>
        </w:rPr>
        <w:t>category</w:t>
      </w:r>
      <w:r w:rsidR="002D063B" w:rsidRPr="00A56475">
        <w:rPr>
          <w:b/>
          <w:bCs/>
        </w:rPr>
        <w:t>, 1974-2007</w:t>
      </w:r>
    </w:p>
    <w:p w:rsidR="002D063B" w:rsidRPr="00A56475" w:rsidRDefault="002D063B" w:rsidP="008F7BE2">
      <w:pPr>
        <w:jc w:val="both"/>
      </w:pPr>
    </w:p>
    <w:p w:rsidR="00221716" w:rsidRPr="00A56475" w:rsidRDefault="00221716" w:rsidP="008F7BE2">
      <w:pPr>
        <w:suppressAutoHyphens w:val="0"/>
        <w:jc w:val="both"/>
      </w:pPr>
    </w:p>
    <w:p w:rsidR="00221716" w:rsidRPr="00A56475" w:rsidRDefault="00B45F19" w:rsidP="008F7BE2">
      <w:pPr>
        <w:suppressAutoHyphens w:val="0"/>
        <w:jc w:val="both"/>
      </w:pPr>
      <w:r>
        <w:rPr>
          <w:noProof/>
          <w:lang w:val="en-US" w:eastAsia="en-US"/>
        </w:rPr>
        <w:drawing>
          <wp:inline distT="0" distB="0" distL="0" distR="0">
            <wp:extent cx="8063230" cy="490474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sectPr w:rsidR="00221716" w:rsidRPr="00A56475" w:rsidSect="00F61E16">
      <w:footerReference w:type="even" r:id="rId23"/>
      <w:footerReference w:type="default" r:id="rId24"/>
      <w:pgSz w:w="15840" w:h="12240" w:orient="landscape"/>
      <w:pgMar w:top="1797" w:right="1440" w:bottom="1797" w:left="1440" w:header="709" w:footer="70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41" w:rsidRDefault="00717B41">
      <w:r>
        <w:separator/>
      </w:r>
    </w:p>
  </w:endnote>
  <w:endnote w:type="continuationSeparator" w:id="0">
    <w:p w:rsidR="00717B41" w:rsidRDefault="0071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8D" w:rsidRDefault="00865CC5" w:rsidP="003D2F03">
    <w:pPr>
      <w:pStyle w:val="Footer"/>
      <w:framePr w:wrap="around" w:vAnchor="text" w:hAnchor="margin" w:xAlign="right" w:y="1"/>
      <w:rPr>
        <w:rStyle w:val="PageNumber"/>
      </w:rPr>
    </w:pPr>
    <w:r>
      <w:rPr>
        <w:rStyle w:val="PageNumber"/>
      </w:rPr>
      <w:fldChar w:fldCharType="begin"/>
    </w:r>
    <w:r w:rsidR="00530E8D">
      <w:rPr>
        <w:rStyle w:val="PageNumber"/>
      </w:rPr>
      <w:instrText xml:space="preserve">PAGE  </w:instrText>
    </w:r>
    <w:r>
      <w:rPr>
        <w:rStyle w:val="PageNumber"/>
      </w:rPr>
      <w:fldChar w:fldCharType="end"/>
    </w:r>
  </w:p>
  <w:p w:rsidR="00530E8D" w:rsidRDefault="00530E8D" w:rsidP="003D2F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8D" w:rsidRDefault="00530E8D" w:rsidP="003D2F0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8D" w:rsidRDefault="00865CC5" w:rsidP="005565A4">
    <w:pPr>
      <w:pStyle w:val="Footer"/>
      <w:framePr w:wrap="around" w:vAnchor="text" w:hAnchor="margin" w:xAlign="center" w:y="1"/>
      <w:rPr>
        <w:rStyle w:val="PageNumber"/>
      </w:rPr>
    </w:pPr>
    <w:r>
      <w:rPr>
        <w:rStyle w:val="PageNumber"/>
      </w:rPr>
      <w:fldChar w:fldCharType="begin"/>
    </w:r>
    <w:r w:rsidR="00530E8D">
      <w:rPr>
        <w:rStyle w:val="PageNumber"/>
      </w:rPr>
      <w:instrText xml:space="preserve">PAGE  </w:instrText>
    </w:r>
    <w:r>
      <w:rPr>
        <w:rStyle w:val="PageNumber"/>
      </w:rPr>
      <w:fldChar w:fldCharType="end"/>
    </w:r>
  </w:p>
  <w:p w:rsidR="00530E8D" w:rsidRDefault="00530E8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8D" w:rsidRPr="0083116A" w:rsidRDefault="00865CC5" w:rsidP="005565A4">
    <w:pPr>
      <w:pStyle w:val="Footer"/>
      <w:framePr w:wrap="around" w:vAnchor="text" w:hAnchor="margin" w:xAlign="center" w:y="1"/>
      <w:rPr>
        <w:rStyle w:val="PageNumber"/>
        <w:rFonts w:ascii="Arial" w:hAnsi="Arial" w:cs="Arial"/>
      </w:rPr>
    </w:pPr>
    <w:r w:rsidRPr="0083116A">
      <w:rPr>
        <w:rStyle w:val="PageNumber"/>
        <w:rFonts w:ascii="Arial" w:hAnsi="Arial" w:cs="Arial"/>
      </w:rPr>
      <w:fldChar w:fldCharType="begin"/>
    </w:r>
    <w:r w:rsidR="00530E8D" w:rsidRPr="0083116A">
      <w:rPr>
        <w:rStyle w:val="PageNumber"/>
        <w:rFonts w:ascii="Arial" w:hAnsi="Arial" w:cs="Arial"/>
      </w:rPr>
      <w:instrText xml:space="preserve">PAGE  </w:instrText>
    </w:r>
    <w:r w:rsidRPr="0083116A">
      <w:rPr>
        <w:rStyle w:val="PageNumber"/>
        <w:rFonts w:ascii="Arial" w:hAnsi="Arial" w:cs="Arial"/>
      </w:rPr>
      <w:fldChar w:fldCharType="separate"/>
    </w:r>
    <w:r w:rsidR="00530E8D">
      <w:rPr>
        <w:rStyle w:val="PageNumber"/>
        <w:rFonts w:ascii="Arial" w:hAnsi="Arial" w:cs="Arial"/>
        <w:noProof/>
      </w:rPr>
      <w:t>21</w:t>
    </w:r>
    <w:r w:rsidRPr="0083116A">
      <w:rPr>
        <w:rStyle w:val="PageNumber"/>
        <w:rFonts w:ascii="Arial" w:hAnsi="Arial" w:cs="Arial"/>
      </w:rPr>
      <w:fldChar w:fldCharType="end"/>
    </w:r>
  </w:p>
  <w:p w:rsidR="00530E8D" w:rsidRPr="0083116A" w:rsidRDefault="00F0196F">
    <w:pPr>
      <w:pStyle w:val="Footer"/>
      <w:ind w:right="360"/>
      <w:rPr>
        <w:rFonts w:ascii="Arial" w:hAnsi="Arial" w:cs="Arial"/>
      </w:rPr>
    </w:pPr>
    <w:r>
      <w:rPr>
        <w:rFonts w:ascii="Arial" w:hAnsi="Arial" w:cs="Arial"/>
        <w:noProof/>
        <w:lang w:val="en-US" w:eastAsia="en-US"/>
      </w:rPr>
      <mc:AlternateContent>
        <mc:Choice Requires="wps">
          <w:drawing>
            <wp:anchor distT="0" distB="0" distL="0" distR="0" simplePos="0" relativeHeight="251657728" behindDoc="0" locked="0" layoutInCell="1" allowOverlap="1">
              <wp:simplePos x="0" y="0"/>
              <wp:positionH relativeFrom="page">
                <wp:posOffset>6552565</wp:posOffset>
              </wp:positionH>
              <wp:positionV relativeFrom="paragraph">
                <wp:posOffset>635</wp:posOffset>
              </wp:positionV>
              <wp:extent cx="76200" cy="174625"/>
              <wp:effectExtent l="0" t="635" r="635" b="254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E8D" w:rsidRDefault="00530E8D">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15.9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" stroked="f">
              <v:fill opacity="0"/>
              <v:textbox inset="0,0,0,0">
                <w:txbxContent>
                  <w:p w:rsidR="00530E8D" w:rsidRDefault="00530E8D">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41" w:rsidRDefault="00717B41">
      <w:r>
        <w:separator/>
      </w:r>
    </w:p>
  </w:footnote>
  <w:footnote w:type="continuationSeparator" w:id="0">
    <w:p w:rsidR="00717B41" w:rsidRDefault="00717B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B08686"/>
    <w:lvl w:ilvl="0">
      <w:start w:val="1"/>
      <w:numFmt w:val="decimal"/>
      <w:lvlText w:val="%1."/>
      <w:lvlJc w:val="left"/>
      <w:pPr>
        <w:tabs>
          <w:tab w:val="num" w:pos="1492"/>
        </w:tabs>
        <w:ind w:left="1492" w:hanging="360"/>
      </w:pPr>
    </w:lvl>
  </w:abstractNum>
  <w:abstractNum w:abstractNumId="1">
    <w:nsid w:val="FFFFFF7D"/>
    <w:multiLevelType w:val="singleLevel"/>
    <w:tmpl w:val="B9F813FE"/>
    <w:lvl w:ilvl="0">
      <w:start w:val="1"/>
      <w:numFmt w:val="decimal"/>
      <w:lvlText w:val="%1."/>
      <w:lvlJc w:val="left"/>
      <w:pPr>
        <w:tabs>
          <w:tab w:val="num" w:pos="1209"/>
        </w:tabs>
        <w:ind w:left="1209" w:hanging="360"/>
      </w:pPr>
    </w:lvl>
  </w:abstractNum>
  <w:abstractNum w:abstractNumId="2">
    <w:nsid w:val="FFFFFF7E"/>
    <w:multiLevelType w:val="singleLevel"/>
    <w:tmpl w:val="D69A4BC2"/>
    <w:lvl w:ilvl="0">
      <w:start w:val="1"/>
      <w:numFmt w:val="decimal"/>
      <w:lvlText w:val="%1."/>
      <w:lvlJc w:val="left"/>
      <w:pPr>
        <w:tabs>
          <w:tab w:val="num" w:pos="926"/>
        </w:tabs>
        <w:ind w:left="926" w:hanging="360"/>
      </w:pPr>
    </w:lvl>
  </w:abstractNum>
  <w:abstractNum w:abstractNumId="3">
    <w:nsid w:val="FFFFFF7F"/>
    <w:multiLevelType w:val="singleLevel"/>
    <w:tmpl w:val="EA6E2878"/>
    <w:lvl w:ilvl="0">
      <w:start w:val="1"/>
      <w:numFmt w:val="decimal"/>
      <w:lvlText w:val="%1."/>
      <w:lvlJc w:val="left"/>
      <w:pPr>
        <w:tabs>
          <w:tab w:val="num" w:pos="643"/>
        </w:tabs>
        <w:ind w:left="643" w:hanging="360"/>
      </w:pPr>
    </w:lvl>
  </w:abstractNum>
  <w:abstractNum w:abstractNumId="4">
    <w:nsid w:val="FFFFFF80"/>
    <w:multiLevelType w:val="singleLevel"/>
    <w:tmpl w:val="30768C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B201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B634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A0E5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9EF692"/>
    <w:lvl w:ilvl="0">
      <w:start w:val="1"/>
      <w:numFmt w:val="decimal"/>
      <w:lvlText w:val="%1."/>
      <w:lvlJc w:val="left"/>
      <w:pPr>
        <w:tabs>
          <w:tab w:val="num" w:pos="360"/>
        </w:tabs>
        <w:ind w:left="360" w:hanging="360"/>
      </w:pPr>
    </w:lvl>
  </w:abstractNum>
  <w:abstractNum w:abstractNumId="9">
    <w:nsid w:val="FFFFFF89"/>
    <w:multiLevelType w:val="singleLevel"/>
    <w:tmpl w:val="CD780E5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2"/>
    <w:lvl w:ilvl="0">
      <w:numFmt w:val="bullet"/>
      <w:lvlText w:val=""/>
      <w:lvlJc w:val="left"/>
      <w:pPr>
        <w:tabs>
          <w:tab w:val="num" w:pos="720"/>
        </w:tabs>
        <w:ind w:left="720" w:hanging="360"/>
      </w:pPr>
      <w:rPr>
        <w:rFonts w:ascii="Symbol" w:hAnsi="Symbol" w:cs="Times New Roman"/>
      </w:rPr>
    </w:lvl>
  </w:abstractNum>
  <w:abstractNum w:abstractNumId="11">
    <w:nsid w:val="00000002"/>
    <w:multiLevelType w:val="singleLevel"/>
    <w:tmpl w:val="00000002"/>
    <w:name w:val="WW8Num13"/>
    <w:lvl w:ilvl="0">
      <w:start w:val="25"/>
      <w:numFmt w:val="bullet"/>
      <w:lvlText w:val="-"/>
      <w:lvlJc w:val="left"/>
      <w:pPr>
        <w:tabs>
          <w:tab w:val="num" w:pos="720"/>
        </w:tabs>
        <w:ind w:left="720" w:hanging="360"/>
      </w:pPr>
      <w:rPr>
        <w:rFonts w:ascii="Times New Roman" w:hAnsi="Times New Roman" w:cs="Times New Roman"/>
      </w:rPr>
    </w:lvl>
  </w:abstractNum>
  <w:abstractNum w:abstractNumId="12">
    <w:nsid w:val="00000003"/>
    <w:multiLevelType w:val="singleLevel"/>
    <w:tmpl w:val="00000003"/>
    <w:name w:val="WW8Num14"/>
    <w:lvl w:ilvl="0">
      <w:start w:val="1"/>
      <w:numFmt w:val="bullet"/>
      <w:lvlText w:val=""/>
      <w:lvlJc w:val="left"/>
      <w:pPr>
        <w:tabs>
          <w:tab w:val="num" w:pos="720"/>
        </w:tabs>
        <w:ind w:left="720" w:hanging="360"/>
      </w:pPr>
      <w:rPr>
        <w:rFonts w:ascii="Symbol" w:hAnsi="Symbol" w:cs="Times New Roman"/>
      </w:rPr>
    </w:lvl>
  </w:abstractNum>
  <w:abstractNum w:abstractNumId="13">
    <w:nsid w:val="00000004"/>
    <w:multiLevelType w:val="singleLevel"/>
    <w:tmpl w:val="00000004"/>
    <w:name w:val="WW8Num15"/>
    <w:lvl w:ilvl="0">
      <w:start w:val="2"/>
      <w:numFmt w:val="bullet"/>
      <w:lvlText w:val="-"/>
      <w:lvlJc w:val="left"/>
      <w:pPr>
        <w:tabs>
          <w:tab w:val="num" w:pos="720"/>
        </w:tabs>
        <w:ind w:left="720" w:hanging="360"/>
      </w:pPr>
      <w:rPr>
        <w:rFonts w:ascii="Times New Roman" w:hAnsi="Times New Roman"/>
      </w:rPr>
    </w:lvl>
  </w:abstractNum>
  <w:abstractNum w:abstractNumId="14">
    <w:nsid w:val="0A88284E"/>
    <w:multiLevelType w:val="hybridMultilevel"/>
    <w:tmpl w:val="57A25382"/>
    <w:name w:val="WW8Num125"/>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0C5A027E"/>
    <w:multiLevelType w:val="hybridMultilevel"/>
    <w:tmpl w:val="A854240E"/>
    <w:name w:val="WW8Num122"/>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6377B27"/>
    <w:multiLevelType w:val="hybridMultilevel"/>
    <w:tmpl w:val="B35AFA28"/>
    <w:name w:val="WW8Num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2165E6"/>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8">
    <w:nsid w:val="3EE05849"/>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9">
    <w:nsid w:val="3FFA2535"/>
    <w:multiLevelType w:val="hybridMultilevel"/>
    <w:tmpl w:val="568A74FE"/>
    <w:name w:val="WW8Num123"/>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9B44757"/>
    <w:multiLevelType w:val="hybridMultilevel"/>
    <w:tmpl w:val="2940D90E"/>
    <w:name w:val="WW8Num133"/>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CA4118"/>
    <w:multiLevelType w:val="hybridMultilevel"/>
    <w:tmpl w:val="E3DADC32"/>
    <w:name w:val="WW8Num124"/>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D737A76"/>
    <w:multiLevelType w:val="hybridMultilevel"/>
    <w:tmpl w:val="B0589A46"/>
    <w:name w:val="WW8Num134"/>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F196C8B"/>
    <w:multiLevelType w:val="hybridMultilevel"/>
    <w:tmpl w:val="DD62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64E89"/>
    <w:multiLevelType w:val="hybridMultilevel"/>
    <w:tmpl w:val="2390C9A2"/>
    <w:name w:val="WW8Num126"/>
    <w:lvl w:ilvl="0" w:tplc="03344E1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6C2993"/>
    <w:multiLevelType w:val="hybridMultilevel"/>
    <w:tmpl w:val="69B6C7D8"/>
    <w:lvl w:ilvl="0" w:tplc="6B8E90C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6D3CFA"/>
    <w:multiLevelType w:val="hybridMultilevel"/>
    <w:tmpl w:val="F6861314"/>
    <w:name w:val="WW8Num127"/>
    <w:lvl w:ilvl="0" w:tplc="03344E1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5"/>
  </w:num>
  <w:num w:numId="6">
    <w:abstractNumId w:val="19"/>
  </w:num>
  <w:num w:numId="7">
    <w:abstractNumId w:val="21"/>
  </w:num>
  <w:num w:numId="8">
    <w:abstractNumId w:val="14"/>
  </w:num>
  <w:num w:numId="9">
    <w:abstractNumId w:val="24"/>
  </w:num>
  <w:num w:numId="10">
    <w:abstractNumId w:val="26"/>
  </w:num>
  <w:num w:numId="11">
    <w:abstractNumId w:val="17"/>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5"/>
  </w:num>
  <w:num w:numId="24">
    <w:abstractNumId w:val="16"/>
  </w:num>
  <w:num w:numId="25">
    <w:abstractNumId w:val="20"/>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70"/>
    <w:rsid w:val="000008A9"/>
    <w:rsid w:val="0000090F"/>
    <w:rsid w:val="00000B44"/>
    <w:rsid w:val="000018A4"/>
    <w:rsid w:val="00003786"/>
    <w:rsid w:val="00006781"/>
    <w:rsid w:val="00006C08"/>
    <w:rsid w:val="000108A8"/>
    <w:rsid w:val="00010AD5"/>
    <w:rsid w:val="00010D7E"/>
    <w:rsid w:val="00011392"/>
    <w:rsid w:val="00013EDC"/>
    <w:rsid w:val="0001444C"/>
    <w:rsid w:val="00017231"/>
    <w:rsid w:val="0001782D"/>
    <w:rsid w:val="00020C03"/>
    <w:rsid w:val="00021679"/>
    <w:rsid w:val="0002288E"/>
    <w:rsid w:val="00023886"/>
    <w:rsid w:val="00026A62"/>
    <w:rsid w:val="0002784E"/>
    <w:rsid w:val="00031FEF"/>
    <w:rsid w:val="00032570"/>
    <w:rsid w:val="0003264F"/>
    <w:rsid w:val="0003337E"/>
    <w:rsid w:val="00033CE0"/>
    <w:rsid w:val="00034292"/>
    <w:rsid w:val="000345AF"/>
    <w:rsid w:val="00035A1F"/>
    <w:rsid w:val="00040373"/>
    <w:rsid w:val="0004062B"/>
    <w:rsid w:val="000417A3"/>
    <w:rsid w:val="000431EC"/>
    <w:rsid w:val="00043FDA"/>
    <w:rsid w:val="00045083"/>
    <w:rsid w:val="00050716"/>
    <w:rsid w:val="00050C14"/>
    <w:rsid w:val="00052E50"/>
    <w:rsid w:val="000530A6"/>
    <w:rsid w:val="00053444"/>
    <w:rsid w:val="0005484D"/>
    <w:rsid w:val="0005496B"/>
    <w:rsid w:val="00054D7E"/>
    <w:rsid w:val="00055BE0"/>
    <w:rsid w:val="00056355"/>
    <w:rsid w:val="00056925"/>
    <w:rsid w:val="000577C8"/>
    <w:rsid w:val="00057912"/>
    <w:rsid w:val="000608CB"/>
    <w:rsid w:val="000612FB"/>
    <w:rsid w:val="0006138D"/>
    <w:rsid w:val="000615F7"/>
    <w:rsid w:val="000625E8"/>
    <w:rsid w:val="000635BC"/>
    <w:rsid w:val="00064361"/>
    <w:rsid w:val="00065A80"/>
    <w:rsid w:val="00066BD6"/>
    <w:rsid w:val="00066CEA"/>
    <w:rsid w:val="00070A52"/>
    <w:rsid w:val="00072D98"/>
    <w:rsid w:val="00074B70"/>
    <w:rsid w:val="00075E81"/>
    <w:rsid w:val="00076402"/>
    <w:rsid w:val="000776A6"/>
    <w:rsid w:val="00077CFC"/>
    <w:rsid w:val="00077ED9"/>
    <w:rsid w:val="000805A0"/>
    <w:rsid w:val="0008178B"/>
    <w:rsid w:val="00082D20"/>
    <w:rsid w:val="0008327F"/>
    <w:rsid w:val="00085931"/>
    <w:rsid w:val="00086262"/>
    <w:rsid w:val="00086AE5"/>
    <w:rsid w:val="00087148"/>
    <w:rsid w:val="0008734D"/>
    <w:rsid w:val="00087FCB"/>
    <w:rsid w:val="000908F8"/>
    <w:rsid w:val="00091564"/>
    <w:rsid w:val="00091BC9"/>
    <w:rsid w:val="000929EF"/>
    <w:rsid w:val="00093015"/>
    <w:rsid w:val="00094414"/>
    <w:rsid w:val="00095D48"/>
    <w:rsid w:val="00095E5F"/>
    <w:rsid w:val="00096AB0"/>
    <w:rsid w:val="00096AC2"/>
    <w:rsid w:val="00096ACE"/>
    <w:rsid w:val="00096C79"/>
    <w:rsid w:val="000977FB"/>
    <w:rsid w:val="000978FE"/>
    <w:rsid w:val="00097A36"/>
    <w:rsid w:val="000A08EA"/>
    <w:rsid w:val="000A3322"/>
    <w:rsid w:val="000A427D"/>
    <w:rsid w:val="000A47C7"/>
    <w:rsid w:val="000A5D42"/>
    <w:rsid w:val="000A663B"/>
    <w:rsid w:val="000A6BD9"/>
    <w:rsid w:val="000A7E10"/>
    <w:rsid w:val="000B0C35"/>
    <w:rsid w:val="000B12D8"/>
    <w:rsid w:val="000B130D"/>
    <w:rsid w:val="000B13F0"/>
    <w:rsid w:val="000B2122"/>
    <w:rsid w:val="000B2BA5"/>
    <w:rsid w:val="000B323D"/>
    <w:rsid w:val="000B3A5B"/>
    <w:rsid w:val="000B51F2"/>
    <w:rsid w:val="000B5CFD"/>
    <w:rsid w:val="000B723B"/>
    <w:rsid w:val="000C0160"/>
    <w:rsid w:val="000C0264"/>
    <w:rsid w:val="000C0733"/>
    <w:rsid w:val="000C0DC5"/>
    <w:rsid w:val="000C1102"/>
    <w:rsid w:val="000C17CD"/>
    <w:rsid w:val="000C2294"/>
    <w:rsid w:val="000C2B64"/>
    <w:rsid w:val="000C37C6"/>
    <w:rsid w:val="000C4223"/>
    <w:rsid w:val="000C490E"/>
    <w:rsid w:val="000C53B5"/>
    <w:rsid w:val="000C6CC1"/>
    <w:rsid w:val="000C77C9"/>
    <w:rsid w:val="000C7A86"/>
    <w:rsid w:val="000D0403"/>
    <w:rsid w:val="000D1E36"/>
    <w:rsid w:val="000D3FF0"/>
    <w:rsid w:val="000D5389"/>
    <w:rsid w:val="000D61C3"/>
    <w:rsid w:val="000D70F8"/>
    <w:rsid w:val="000E0E9F"/>
    <w:rsid w:val="000E212D"/>
    <w:rsid w:val="000E2F67"/>
    <w:rsid w:val="000E48F9"/>
    <w:rsid w:val="000E59D9"/>
    <w:rsid w:val="000E60EB"/>
    <w:rsid w:val="000E6741"/>
    <w:rsid w:val="000E6DFA"/>
    <w:rsid w:val="000F1E8A"/>
    <w:rsid w:val="000F1F86"/>
    <w:rsid w:val="000F526A"/>
    <w:rsid w:val="000F5ABB"/>
    <w:rsid w:val="0010070F"/>
    <w:rsid w:val="001009A2"/>
    <w:rsid w:val="00104D57"/>
    <w:rsid w:val="00105019"/>
    <w:rsid w:val="00105B84"/>
    <w:rsid w:val="00106384"/>
    <w:rsid w:val="001066E9"/>
    <w:rsid w:val="001074DB"/>
    <w:rsid w:val="00107AFC"/>
    <w:rsid w:val="0011000B"/>
    <w:rsid w:val="001100EE"/>
    <w:rsid w:val="001108BD"/>
    <w:rsid w:val="001108BE"/>
    <w:rsid w:val="00110A0A"/>
    <w:rsid w:val="00110DED"/>
    <w:rsid w:val="00111764"/>
    <w:rsid w:val="0011251F"/>
    <w:rsid w:val="00113F1C"/>
    <w:rsid w:val="00115F02"/>
    <w:rsid w:val="001179FF"/>
    <w:rsid w:val="001207F5"/>
    <w:rsid w:val="00121B88"/>
    <w:rsid w:val="00122075"/>
    <w:rsid w:val="0012237F"/>
    <w:rsid w:val="00122F15"/>
    <w:rsid w:val="00123311"/>
    <w:rsid w:val="00123536"/>
    <w:rsid w:val="00123D39"/>
    <w:rsid w:val="001250C8"/>
    <w:rsid w:val="001267B9"/>
    <w:rsid w:val="00131D8B"/>
    <w:rsid w:val="00131ECD"/>
    <w:rsid w:val="00132554"/>
    <w:rsid w:val="00133031"/>
    <w:rsid w:val="001336E5"/>
    <w:rsid w:val="00133BEF"/>
    <w:rsid w:val="00134582"/>
    <w:rsid w:val="001348BC"/>
    <w:rsid w:val="00135185"/>
    <w:rsid w:val="001352C1"/>
    <w:rsid w:val="001359A2"/>
    <w:rsid w:val="00135B6F"/>
    <w:rsid w:val="001361C2"/>
    <w:rsid w:val="0013654E"/>
    <w:rsid w:val="00136EAD"/>
    <w:rsid w:val="00140F99"/>
    <w:rsid w:val="00140FEF"/>
    <w:rsid w:val="00141036"/>
    <w:rsid w:val="0014196F"/>
    <w:rsid w:val="00142165"/>
    <w:rsid w:val="00143082"/>
    <w:rsid w:val="00144D32"/>
    <w:rsid w:val="00145380"/>
    <w:rsid w:val="00146099"/>
    <w:rsid w:val="00147056"/>
    <w:rsid w:val="00152A70"/>
    <w:rsid w:val="00152DBE"/>
    <w:rsid w:val="00153406"/>
    <w:rsid w:val="001557C2"/>
    <w:rsid w:val="0015667B"/>
    <w:rsid w:val="00160246"/>
    <w:rsid w:val="00160836"/>
    <w:rsid w:val="00160FFC"/>
    <w:rsid w:val="00162BB3"/>
    <w:rsid w:val="001639E7"/>
    <w:rsid w:val="00163BFD"/>
    <w:rsid w:val="0016407E"/>
    <w:rsid w:val="00164EB3"/>
    <w:rsid w:val="00166545"/>
    <w:rsid w:val="001726E3"/>
    <w:rsid w:val="00175413"/>
    <w:rsid w:val="00177C8B"/>
    <w:rsid w:val="00177F78"/>
    <w:rsid w:val="00181636"/>
    <w:rsid w:val="00181A66"/>
    <w:rsid w:val="00182146"/>
    <w:rsid w:val="00182638"/>
    <w:rsid w:val="001826F0"/>
    <w:rsid w:val="001836CA"/>
    <w:rsid w:val="00184E44"/>
    <w:rsid w:val="001853DB"/>
    <w:rsid w:val="001860B4"/>
    <w:rsid w:val="0018683B"/>
    <w:rsid w:val="001869E2"/>
    <w:rsid w:val="0018793E"/>
    <w:rsid w:val="00187A83"/>
    <w:rsid w:val="00192EA5"/>
    <w:rsid w:val="00197848"/>
    <w:rsid w:val="00197D3C"/>
    <w:rsid w:val="001A0057"/>
    <w:rsid w:val="001A0BAF"/>
    <w:rsid w:val="001A224A"/>
    <w:rsid w:val="001A2A02"/>
    <w:rsid w:val="001A3B26"/>
    <w:rsid w:val="001A5BF6"/>
    <w:rsid w:val="001A7A35"/>
    <w:rsid w:val="001B2303"/>
    <w:rsid w:val="001B2928"/>
    <w:rsid w:val="001B2E57"/>
    <w:rsid w:val="001B2EFA"/>
    <w:rsid w:val="001B2FBA"/>
    <w:rsid w:val="001B37BC"/>
    <w:rsid w:val="001B3AED"/>
    <w:rsid w:val="001B3E76"/>
    <w:rsid w:val="001B44A8"/>
    <w:rsid w:val="001B45E1"/>
    <w:rsid w:val="001B4750"/>
    <w:rsid w:val="001B4FCC"/>
    <w:rsid w:val="001B5D09"/>
    <w:rsid w:val="001B61BE"/>
    <w:rsid w:val="001B7290"/>
    <w:rsid w:val="001B7A8C"/>
    <w:rsid w:val="001B7CEA"/>
    <w:rsid w:val="001C054A"/>
    <w:rsid w:val="001C159B"/>
    <w:rsid w:val="001C3938"/>
    <w:rsid w:val="001C421E"/>
    <w:rsid w:val="001C4EFD"/>
    <w:rsid w:val="001C510A"/>
    <w:rsid w:val="001C5646"/>
    <w:rsid w:val="001C6230"/>
    <w:rsid w:val="001C65F0"/>
    <w:rsid w:val="001C66E2"/>
    <w:rsid w:val="001C75A2"/>
    <w:rsid w:val="001D00C6"/>
    <w:rsid w:val="001D2F6D"/>
    <w:rsid w:val="001D33DF"/>
    <w:rsid w:val="001D654D"/>
    <w:rsid w:val="001E03B2"/>
    <w:rsid w:val="001E3781"/>
    <w:rsid w:val="001E3B1F"/>
    <w:rsid w:val="001E4A58"/>
    <w:rsid w:val="001E4CDF"/>
    <w:rsid w:val="001E57CC"/>
    <w:rsid w:val="001E6CE6"/>
    <w:rsid w:val="001E6E6C"/>
    <w:rsid w:val="001F05D3"/>
    <w:rsid w:val="001F2706"/>
    <w:rsid w:val="001F46E6"/>
    <w:rsid w:val="001F4FA7"/>
    <w:rsid w:val="001F59E0"/>
    <w:rsid w:val="001F6C94"/>
    <w:rsid w:val="001F7D4C"/>
    <w:rsid w:val="0020115D"/>
    <w:rsid w:val="0020123A"/>
    <w:rsid w:val="002014AA"/>
    <w:rsid w:val="0020174E"/>
    <w:rsid w:val="00201EE0"/>
    <w:rsid w:val="002022BB"/>
    <w:rsid w:val="00202F72"/>
    <w:rsid w:val="002030C2"/>
    <w:rsid w:val="002030E8"/>
    <w:rsid w:val="002050F3"/>
    <w:rsid w:val="00207AF6"/>
    <w:rsid w:val="002104E4"/>
    <w:rsid w:val="00210B29"/>
    <w:rsid w:val="002112DF"/>
    <w:rsid w:val="002117AE"/>
    <w:rsid w:val="00211C9C"/>
    <w:rsid w:val="0021219E"/>
    <w:rsid w:val="002126E5"/>
    <w:rsid w:val="002143E5"/>
    <w:rsid w:val="002163CE"/>
    <w:rsid w:val="00216C15"/>
    <w:rsid w:val="00220255"/>
    <w:rsid w:val="0022042D"/>
    <w:rsid w:val="002215B3"/>
    <w:rsid w:val="00221716"/>
    <w:rsid w:val="00221BD9"/>
    <w:rsid w:val="0022221D"/>
    <w:rsid w:val="00222692"/>
    <w:rsid w:val="00223C63"/>
    <w:rsid w:val="00223CE3"/>
    <w:rsid w:val="00224651"/>
    <w:rsid w:val="00225A95"/>
    <w:rsid w:val="002264CA"/>
    <w:rsid w:val="00226786"/>
    <w:rsid w:val="00226C9B"/>
    <w:rsid w:val="00226F4A"/>
    <w:rsid w:val="002313CA"/>
    <w:rsid w:val="00231B65"/>
    <w:rsid w:val="00232112"/>
    <w:rsid w:val="00232283"/>
    <w:rsid w:val="00232405"/>
    <w:rsid w:val="00234658"/>
    <w:rsid w:val="00236A31"/>
    <w:rsid w:val="00236CA5"/>
    <w:rsid w:val="00236F6C"/>
    <w:rsid w:val="002374B9"/>
    <w:rsid w:val="00237D31"/>
    <w:rsid w:val="002403BC"/>
    <w:rsid w:val="00241659"/>
    <w:rsid w:val="002416F3"/>
    <w:rsid w:val="0024172C"/>
    <w:rsid w:val="00242AD4"/>
    <w:rsid w:val="00243C87"/>
    <w:rsid w:val="00244117"/>
    <w:rsid w:val="002443F0"/>
    <w:rsid w:val="00244AC7"/>
    <w:rsid w:val="00244B70"/>
    <w:rsid w:val="00245474"/>
    <w:rsid w:val="00246FD0"/>
    <w:rsid w:val="00247E9A"/>
    <w:rsid w:val="002502D8"/>
    <w:rsid w:val="00250914"/>
    <w:rsid w:val="00250FD3"/>
    <w:rsid w:val="002511C4"/>
    <w:rsid w:val="002516B1"/>
    <w:rsid w:val="00252D16"/>
    <w:rsid w:val="00252E67"/>
    <w:rsid w:val="00253C4E"/>
    <w:rsid w:val="00254CB9"/>
    <w:rsid w:val="002558E4"/>
    <w:rsid w:val="00255A61"/>
    <w:rsid w:val="00255B32"/>
    <w:rsid w:val="00255F24"/>
    <w:rsid w:val="00257042"/>
    <w:rsid w:val="002601A4"/>
    <w:rsid w:val="00260704"/>
    <w:rsid w:val="002607B9"/>
    <w:rsid w:val="002615FF"/>
    <w:rsid w:val="00261AC0"/>
    <w:rsid w:val="00261DA9"/>
    <w:rsid w:val="00261FA1"/>
    <w:rsid w:val="00263611"/>
    <w:rsid w:val="0026532F"/>
    <w:rsid w:val="002654E9"/>
    <w:rsid w:val="00266580"/>
    <w:rsid w:val="00267299"/>
    <w:rsid w:val="00267317"/>
    <w:rsid w:val="00270A68"/>
    <w:rsid w:val="002712BD"/>
    <w:rsid w:val="002713B2"/>
    <w:rsid w:val="00272CAE"/>
    <w:rsid w:val="0027343A"/>
    <w:rsid w:val="00273B0B"/>
    <w:rsid w:val="00273C80"/>
    <w:rsid w:val="00274BF2"/>
    <w:rsid w:val="00275050"/>
    <w:rsid w:val="00276E7E"/>
    <w:rsid w:val="00280424"/>
    <w:rsid w:val="0028226E"/>
    <w:rsid w:val="0028339F"/>
    <w:rsid w:val="0028347E"/>
    <w:rsid w:val="00283531"/>
    <w:rsid w:val="0028477C"/>
    <w:rsid w:val="00284B90"/>
    <w:rsid w:val="002857E0"/>
    <w:rsid w:val="00286916"/>
    <w:rsid w:val="00290420"/>
    <w:rsid w:val="002922B3"/>
    <w:rsid w:val="00292FDE"/>
    <w:rsid w:val="00293933"/>
    <w:rsid w:val="00293F57"/>
    <w:rsid w:val="00295973"/>
    <w:rsid w:val="00295E26"/>
    <w:rsid w:val="00295E6A"/>
    <w:rsid w:val="00296FB3"/>
    <w:rsid w:val="00297833"/>
    <w:rsid w:val="002979D5"/>
    <w:rsid w:val="002A13DE"/>
    <w:rsid w:val="002A24A3"/>
    <w:rsid w:val="002A24E3"/>
    <w:rsid w:val="002A2BB8"/>
    <w:rsid w:val="002A2CD9"/>
    <w:rsid w:val="002A4BF6"/>
    <w:rsid w:val="002A5AFB"/>
    <w:rsid w:val="002A69C2"/>
    <w:rsid w:val="002A72A3"/>
    <w:rsid w:val="002B0844"/>
    <w:rsid w:val="002B1085"/>
    <w:rsid w:val="002B114B"/>
    <w:rsid w:val="002B16A4"/>
    <w:rsid w:val="002B1CE7"/>
    <w:rsid w:val="002B2EAE"/>
    <w:rsid w:val="002B34BF"/>
    <w:rsid w:val="002B34DA"/>
    <w:rsid w:val="002B500E"/>
    <w:rsid w:val="002B5C28"/>
    <w:rsid w:val="002B5DE8"/>
    <w:rsid w:val="002B66C1"/>
    <w:rsid w:val="002C0C68"/>
    <w:rsid w:val="002C1683"/>
    <w:rsid w:val="002C2556"/>
    <w:rsid w:val="002C4295"/>
    <w:rsid w:val="002C42C2"/>
    <w:rsid w:val="002C4655"/>
    <w:rsid w:val="002C482E"/>
    <w:rsid w:val="002C4C7C"/>
    <w:rsid w:val="002C6323"/>
    <w:rsid w:val="002C77C7"/>
    <w:rsid w:val="002D063B"/>
    <w:rsid w:val="002D0BEF"/>
    <w:rsid w:val="002D121B"/>
    <w:rsid w:val="002D15EA"/>
    <w:rsid w:val="002D1EAE"/>
    <w:rsid w:val="002D4352"/>
    <w:rsid w:val="002D5B9A"/>
    <w:rsid w:val="002D72C8"/>
    <w:rsid w:val="002D730F"/>
    <w:rsid w:val="002D7E36"/>
    <w:rsid w:val="002E00A8"/>
    <w:rsid w:val="002E041B"/>
    <w:rsid w:val="002E0D4F"/>
    <w:rsid w:val="002E1006"/>
    <w:rsid w:val="002E2092"/>
    <w:rsid w:val="002E318F"/>
    <w:rsid w:val="002E341D"/>
    <w:rsid w:val="002E3EFF"/>
    <w:rsid w:val="002E4264"/>
    <w:rsid w:val="002E545F"/>
    <w:rsid w:val="002E5AB0"/>
    <w:rsid w:val="002E5FBD"/>
    <w:rsid w:val="002E66B9"/>
    <w:rsid w:val="002F0556"/>
    <w:rsid w:val="002F1343"/>
    <w:rsid w:val="002F2AEC"/>
    <w:rsid w:val="002F2B28"/>
    <w:rsid w:val="002F4D37"/>
    <w:rsid w:val="002F4EB0"/>
    <w:rsid w:val="002F51CF"/>
    <w:rsid w:val="002F58FC"/>
    <w:rsid w:val="002F71CD"/>
    <w:rsid w:val="002F7502"/>
    <w:rsid w:val="002F7632"/>
    <w:rsid w:val="002F7926"/>
    <w:rsid w:val="002F7D2F"/>
    <w:rsid w:val="0030079B"/>
    <w:rsid w:val="00300903"/>
    <w:rsid w:val="00301988"/>
    <w:rsid w:val="0030532B"/>
    <w:rsid w:val="0030586E"/>
    <w:rsid w:val="00305F00"/>
    <w:rsid w:val="00310A19"/>
    <w:rsid w:val="0031132B"/>
    <w:rsid w:val="00312055"/>
    <w:rsid w:val="003130AB"/>
    <w:rsid w:val="003145E2"/>
    <w:rsid w:val="00314B38"/>
    <w:rsid w:val="0031631E"/>
    <w:rsid w:val="003163AF"/>
    <w:rsid w:val="00316850"/>
    <w:rsid w:val="0031742B"/>
    <w:rsid w:val="003203A8"/>
    <w:rsid w:val="00321321"/>
    <w:rsid w:val="00321410"/>
    <w:rsid w:val="00321A57"/>
    <w:rsid w:val="00321F68"/>
    <w:rsid w:val="0032251E"/>
    <w:rsid w:val="0032319F"/>
    <w:rsid w:val="00323599"/>
    <w:rsid w:val="0032548A"/>
    <w:rsid w:val="0032589A"/>
    <w:rsid w:val="003260BD"/>
    <w:rsid w:val="00330090"/>
    <w:rsid w:val="00330872"/>
    <w:rsid w:val="003308AA"/>
    <w:rsid w:val="00330CC8"/>
    <w:rsid w:val="0033181F"/>
    <w:rsid w:val="00332537"/>
    <w:rsid w:val="00332A56"/>
    <w:rsid w:val="00332D8D"/>
    <w:rsid w:val="0033375C"/>
    <w:rsid w:val="003347C8"/>
    <w:rsid w:val="00335326"/>
    <w:rsid w:val="00335B26"/>
    <w:rsid w:val="00335FA6"/>
    <w:rsid w:val="003366D2"/>
    <w:rsid w:val="00336DD1"/>
    <w:rsid w:val="0033743E"/>
    <w:rsid w:val="00341B5F"/>
    <w:rsid w:val="00344050"/>
    <w:rsid w:val="00345543"/>
    <w:rsid w:val="00346806"/>
    <w:rsid w:val="003469C7"/>
    <w:rsid w:val="00346EB8"/>
    <w:rsid w:val="0034734E"/>
    <w:rsid w:val="0035214F"/>
    <w:rsid w:val="00352AEC"/>
    <w:rsid w:val="0035571F"/>
    <w:rsid w:val="003561BF"/>
    <w:rsid w:val="00356865"/>
    <w:rsid w:val="003568BB"/>
    <w:rsid w:val="0035770B"/>
    <w:rsid w:val="00357A12"/>
    <w:rsid w:val="0036137F"/>
    <w:rsid w:val="00361581"/>
    <w:rsid w:val="003618A0"/>
    <w:rsid w:val="00361F6D"/>
    <w:rsid w:val="00362228"/>
    <w:rsid w:val="00362F11"/>
    <w:rsid w:val="0036554B"/>
    <w:rsid w:val="0036578D"/>
    <w:rsid w:val="00365D6A"/>
    <w:rsid w:val="00366AAD"/>
    <w:rsid w:val="00366F40"/>
    <w:rsid w:val="0036761A"/>
    <w:rsid w:val="00370678"/>
    <w:rsid w:val="0037187F"/>
    <w:rsid w:val="00371E6C"/>
    <w:rsid w:val="00372EA5"/>
    <w:rsid w:val="00372F91"/>
    <w:rsid w:val="003736BC"/>
    <w:rsid w:val="00375156"/>
    <w:rsid w:val="00375677"/>
    <w:rsid w:val="0037771F"/>
    <w:rsid w:val="00377A05"/>
    <w:rsid w:val="00380578"/>
    <w:rsid w:val="00381DCE"/>
    <w:rsid w:val="00382020"/>
    <w:rsid w:val="00382532"/>
    <w:rsid w:val="00383CB4"/>
    <w:rsid w:val="00385641"/>
    <w:rsid w:val="0038586D"/>
    <w:rsid w:val="00386820"/>
    <w:rsid w:val="00387702"/>
    <w:rsid w:val="003878AA"/>
    <w:rsid w:val="003902A0"/>
    <w:rsid w:val="00391479"/>
    <w:rsid w:val="0039152B"/>
    <w:rsid w:val="00391C60"/>
    <w:rsid w:val="00393B5E"/>
    <w:rsid w:val="00394412"/>
    <w:rsid w:val="00394E4D"/>
    <w:rsid w:val="00395A8E"/>
    <w:rsid w:val="0039601E"/>
    <w:rsid w:val="003964AA"/>
    <w:rsid w:val="00396AC4"/>
    <w:rsid w:val="003A05B5"/>
    <w:rsid w:val="003A0719"/>
    <w:rsid w:val="003A0814"/>
    <w:rsid w:val="003A0A5C"/>
    <w:rsid w:val="003A0DA1"/>
    <w:rsid w:val="003A22D2"/>
    <w:rsid w:val="003A2CF3"/>
    <w:rsid w:val="003A46E4"/>
    <w:rsid w:val="003A5F54"/>
    <w:rsid w:val="003A73DC"/>
    <w:rsid w:val="003B058A"/>
    <w:rsid w:val="003B0621"/>
    <w:rsid w:val="003B0F19"/>
    <w:rsid w:val="003B119F"/>
    <w:rsid w:val="003B1242"/>
    <w:rsid w:val="003B22F4"/>
    <w:rsid w:val="003B238F"/>
    <w:rsid w:val="003B24E5"/>
    <w:rsid w:val="003B313F"/>
    <w:rsid w:val="003B3A85"/>
    <w:rsid w:val="003B3AC3"/>
    <w:rsid w:val="003B3B93"/>
    <w:rsid w:val="003B3DC6"/>
    <w:rsid w:val="003B46D3"/>
    <w:rsid w:val="003B4D2C"/>
    <w:rsid w:val="003B6BE0"/>
    <w:rsid w:val="003B6F9E"/>
    <w:rsid w:val="003C0016"/>
    <w:rsid w:val="003C00A1"/>
    <w:rsid w:val="003C219B"/>
    <w:rsid w:val="003C30F2"/>
    <w:rsid w:val="003C3D2B"/>
    <w:rsid w:val="003C3DF3"/>
    <w:rsid w:val="003C4FFD"/>
    <w:rsid w:val="003C5BE2"/>
    <w:rsid w:val="003D1C32"/>
    <w:rsid w:val="003D27AF"/>
    <w:rsid w:val="003D2F03"/>
    <w:rsid w:val="003D45FE"/>
    <w:rsid w:val="003D46A2"/>
    <w:rsid w:val="003D73C2"/>
    <w:rsid w:val="003D7CBB"/>
    <w:rsid w:val="003E0E12"/>
    <w:rsid w:val="003E2466"/>
    <w:rsid w:val="003E643F"/>
    <w:rsid w:val="003E6A4F"/>
    <w:rsid w:val="003F1945"/>
    <w:rsid w:val="003F1E09"/>
    <w:rsid w:val="003F21FA"/>
    <w:rsid w:val="003F2B23"/>
    <w:rsid w:val="003F43E1"/>
    <w:rsid w:val="003F5EEE"/>
    <w:rsid w:val="00400169"/>
    <w:rsid w:val="0040169B"/>
    <w:rsid w:val="004019D4"/>
    <w:rsid w:val="00401C2C"/>
    <w:rsid w:val="0040228B"/>
    <w:rsid w:val="00403084"/>
    <w:rsid w:val="004034B8"/>
    <w:rsid w:val="004056F5"/>
    <w:rsid w:val="004057FC"/>
    <w:rsid w:val="00405966"/>
    <w:rsid w:val="00406FB0"/>
    <w:rsid w:val="00407BCC"/>
    <w:rsid w:val="00407FDD"/>
    <w:rsid w:val="004104E6"/>
    <w:rsid w:val="0041183B"/>
    <w:rsid w:val="004128EA"/>
    <w:rsid w:val="004164B0"/>
    <w:rsid w:val="004172F0"/>
    <w:rsid w:val="00417328"/>
    <w:rsid w:val="00420A64"/>
    <w:rsid w:val="00420ADF"/>
    <w:rsid w:val="00421B68"/>
    <w:rsid w:val="0042593C"/>
    <w:rsid w:val="0042635A"/>
    <w:rsid w:val="004263E7"/>
    <w:rsid w:val="004279FC"/>
    <w:rsid w:val="004308A7"/>
    <w:rsid w:val="0043148D"/>
    <w:rsid w:val="0043151E"/>
    <w:rsid w:val="00431661"/>
    <w:rsid w:val="00431BCF"/>
    <w:rsid w:val="004325C8"/>
    <w:rsid w:val="00432B2C"/>
    <w:rsid w:val="00433BDE"/>
    <w:rsid w:val="00434C37"/>
    <w:rsid w:val="0043660F"/>
    <w:rsid w:val="004368A0"/>
    <w:rsid w:val="00436AE1"/>
    <w:rsid w:val="004379C2"/>
    <w:rsid w:val="00442C81"/>
    <w:rsid w:val="004439B1"/>
    <w:rsid w:val="00450050"/>
    <w:rsid w:val="00450188"/>
    <w:rsid w:val="0045044E"/>
    <w:rsid w:val="00450A26"/>
    <w:rsid w:val="00450BB0"/>
    <w:rsid w:val="00451BA0"/>
    <w:rsid w:val="00453D6D"/>
    <w:rsid w:val="00454152"/>
    <w:rsid w:val="00454B1C"/>
    <w:rsid w:val="00454BFD"/>
    <w:rsid w:val="00454CFE"/>
    <w:rsid w:val="00454D97"/>
    <w:rsid w:val="004564DB"/>
    <w:rsid w:val="00456D9F"/>
    <w:rsid w:val="00456DEC"/>
    <w:rsid w:val="004572AE"/>
    <w:rsid w:val="00457A66"/>
    <w:rsid w:val="004600BC"/>
    <w:rsid w:val="004602E2"/>
    <w:rsid w:val="00461969"/>
    <w:rsid w:val="004623C0"/>
    <w:rsid w:val="0046457E"/>
    <w:rsid w:val="004645C0"/>
    <w:rsid w:val="0046472A"/>
    <w:rsid w:val="004649E7"/>
    <w:rsid w:val="00464A63"/>
    <w:rsid w:val="004659BD"/>
    <w:rsid w:val="004674C1"/>
    <w:rsid w:val="00470945"/>
    <w:rsid w:val="00470D6B"/>
    <w:rsid w:val="004718D1"/>
    <w:rsid w:val="00471B9A"/>
    <w:rsid w:val="00471E58"/>
    <w:rsid w:val="004765BF"/>
    <w:rsid w:val="00476903"/>
    <w:rsid w:val="00477BC9"/>
    <w:rsid w:val="00484A56"/>
    <w:rsid w:val="00484A71"/>
    <w:rsid w:val="00485221"/>
    <w:rsid w:val="00485421"/>
    <w:rsid w:val="004858BA"/>
    <w:rsid w:val="00486C9B"/>
    <w:rsid w:val="00490E76"/>
    <w:rsid w:val="00493CE2"/>
    <w:rsid w:val="00493EA6"/>
    <w:rsid w:val="004942CA"/>
    <w:rsid w:val="00495516"/>
    <w:rsid w:val="00495963"/>
    <w:rsid w:val="00495CA5"/>
    <w:rsid w:val="00495E8A"/>
    <w:rsid w:val="00497673"/>
    <w:rsid w:val="00497AFC"/>
    <w:rsid w:val="004A03CD"/>
    <w:rsid w:val="004A1BAA"/>
    <w:rsid w:val="004A241B"/>
    <w:rsid w:val="004A2B9F"/>
    <w:rsid w:val="004A397E"/>
    <w:rsid w:val="004A4651"/>
    <w:rsid w:val="004A4A48"/>
    <w:rsid w:val="004A50BA"/>
    <w:rsid w:val="004A5416"/>
    <w:rsid w:val="004A6172"/>
    <w:rsid w:val="004A6B9F"/>
    <w:rsid w:val="004A6BCB"/>
    <w:rsid w:val="004A6E3F"/>
    <w:rsid w:val="004B02AE"/>
    <w:rsid w:val="004B1156"/>
    <w:rsid w:val="004B19EB"/>
    <w:rsid w:val="004B21D8"/>
    <w:rsid w:val="004B2A31"/>
    <w:rsid w:val="004B2EB7"/>
    <w:rsid w:val="004B4A93"/>
    <w:rsid w:val="004B5172"/>
    <w:rsid w:val="004B51F4"/>
    <w:rsid w:val="004B5BCD"/>
    <w:rsid w:val="004B651C"/>
    <w:rsid w:val="004C04DD"/>
    <w:rsid w:val="004C0674"/>
    <w:rsid w:val="004C0DAD"/>
    <w:rsid w:val="004C11BC"/>
    <w:rsid w:val="004C25F8"/>
    <w:rsid w:val="004C3E26"/>
    <w:rsid w:val="004C4E4E"/>
    <w:rsid w:val="004C5969"/>
    <w:rsid w:val="004C67AE"/>
    <w:rsid w:val="004D03E0"/>
    <w:rsid w:val="004D055E"/>
    <w:rsid w:val="004D10C5"/>
    <w:rsid w:val="004D1F5D"/>
    <w:rsid w:val="004D297A"/>
    <w:rsid w:val="004D4B6F"/>
    <w:rsid w:val="004D4EAE"/>
    <w:rsid w:val="004D5F72"/>
    <w:rsid w:val="004D603D"/>
    <w:rsid w:val="004D70B7"/>
    <w:rsid w:val="004D71E6"/>
    <w:rsid w:val="004E0109"/>
    <w:rsid w:val="004E034E"/>
    <w:rsid w:val="004E6E9A"/>
    <w:rsid w:val="004E6F44"/>
    <w:rsid w:val="004E7B6C"/>
    <w:rsid w:val="004F00E3"/>
    <w:rsid w:val="004F062D"/>
    <w:rsid w:val="004F0705"/>
    <w:rsid w:val="004F1CFB"/>
    <w:rsid w:val="004F48E5"/>
    <w:rsid w:val="004F626F"/>
    <w:rsid w:val="004F6B9C"/>
    <w:rsid w:val="00500847"/>
    <w:rsid w:val="00502336"/>
    <w:rsid w:val="0050284B"/>
    <w:rsid w:val="00503128"/>
    <w:rsid w:val="005031F6"/>
    <w:rsid w:val="00503B5F"/>
    <w:rsid w:val="0050435D"/>
    <w:rsid w:val="00504D8D"/>
    <w:rsid w:val="00505819"/>
    <w:rsid w:val="00505D47"/>
    <w:rsid w:val="00505D9F"/>
    <w:rsid w:val="00505F57"/>
    <w:rsid w:val="0051041E"/>
    <w:rsid w:val="00510AC2"/>
    <w:rsid w:val="00511297"/>
    <w:rsid w:val="005112EA"/>
    <w:rsid w:val="00511CB9"/>
    <w:rsid w:val="005149A2"/>
    <w:rsid w:val="005149C6"/>
    <w:rsid w:val="00514BE1"/>
    <w:rsid w:val="005151B5"/>
    <w:rsid w:val="00515942"/>
    <w:rsid w:val="00516470"/>
    <w:rsid w:val="005165DF"/>
    <w:rsid w:val="00517F16"/>
    <w:rsid w:val="0052026B"/>
    <w:rsid w:val="005223A7"/>
    <w:rsid w:val="005228FC"/>
    <w:rsid w:val="0052376F"/>
    <w:rsid w:val="0052526F"/>
    <w:rsid w:val="00525481"/>
    <w:rsid w:val="00525D10"/>
    <w:rsid w:val="005262BD"/>
    <w:rsid w:val="0052651F"/>
    <w:rsid w:val="00526ECF"/>
    <w:rsid w:val="00527DD4"/>
    <w:rsid w:val="00530C3E"/>
    <w:rsid w:val="00530E8D"/>
    <w:rsid w:val="00531F11"/>
    <w:rsid w:val="005326D0"/>
    <w:rsid w:val="0053284B"/>
    <w:rsid w:val="0053651F"/>
    <w:rsid w:val="005374B2"/>
    <w:rsid w:val="00537998"/>
    <w:rsid w:val="00537FE4"/>
    <w:rsid w:val="00540005"/>
    <w:rsid w:val="00542574"/>
    <w:rsid w:val="005460CB"/>
    <w:rsid w:val="00546C11"/>
    <w:rsid w:val="00547A47"/>
    <w:rsid w:val="00547DC3"/>
    <w:rsid w:val="00547F90"/>
    <w:rsid w:val="0055051A"/>
    <w:rsid w:val="005505C5"/>
    <w:rsid w:val="005510FA"/>
    <w:rsid w:val="00551312"/>
    <w:rsid w:val="00551645"/>
    <w:rsid w:val="00551BC3"/>
    <w:rsid w:val="0055211C"/>
    <w:rsid w:val="00552E7F"/>
    <w:rsid w:val="00552F7B"/>
    <w:rsid w:val="0055304D"/>
    <w:rsid w:val="00554B0E"/>
    <w:rsid w:val="00556224"/>
    <w:rsid w:val="005562D9"/>
    <w:rsid w:val="005565A4"/>
    <w:rsid w:val="005565D9"/>
    <w:rsid w:val="00556C2B"/>
    <w:rsid w:val="00557694"/>
    <w:rsid w:val="00557A0B"/>
    <w:rsid w:val="00557A33"/>
    <w:rsid w:val="00560C3F"/>
    <w:rsid w:val="00560D54"/>
    <w:rsid w:val="00560F4B"/>
    <w:rsid w:val="0056118B"/>
    <w:rsid w:val="00561EB3"/>
    <w:rsid w:val="00562902"/>
    <w:rsid w:val="005634BB"/>
    <w:rsid w:val="005636EA"/>
    <w:rsid w:val="005644AE"/>
    <w:rsid w:val="005654EA"/>
    <w:rsid w:val="00566681"/>
    <w:rsid w:val="005671C3"/>
    <w:rsid w:val="00567439"/>
    <w:rsid w:val="00567479"/>
    <w:rsid w:val="00567606"/>
    <w:rsid w:val="00567A5A"/>
    <w:rsid w:val="0057043F"/>
    <w:rsid w:val="00572B56"/>
    <w:rsid w:val="005730F9"/>
    <w:rsid w:val="00574719"/>
    <w:rsid w:val="00575073"/>
    <w:rsid w:val="00575D2B"/>
    <w:rsid w:val="005764C4"/>
    <w:rsid w:val="00577430"/>
    <w:rsid w:val="00580F76"/>
    <w:rsid w:val="005810DE"/>
    <w:rsid w:val="0058131B"/>
    <w:rsid w:val="0058207D"/>
    <w:rsid w:val="00583073"/>
    <w:rsid w:val="005830DD"/>
    <w:rsid w:val="00585E6D"/>
    <w:rsid w:val="00586095"/>
    <w:rsid w:val="00587E41"/>
    <w:rsid w:val="0059028D"/>
    <w:rsid w:val="00590EEC"/>
    <w:rsid w:val="005937EB"/>
    <w:rsid w:val="00593966"/>
    <w:rsid w:val="00593E7C"/>
    <w:rsid w:val="005941E3"/>
    <w:rsid w:val="0059536F"/>
    <w:rsid w:val="00596992"/>
    <w:rsid w:val="005970D6"/>
    <w:rsid w:val="0059727F"/>
    <w:rsid w:val="00597A2B"/>
    <w:rsid w:val="00597BDB"/>
    <w:rsid w:val="005A0295"/>
    <w:rsid w:val="005A1676"/>
    <w:rsid w:val="005A2B82"/>
    <w:rsid w:val="005A6CC3"/>
    <w:rsid w:val="005A6D56"/>
    <w:rsid w:val="005B075D"/>
    <w:rsid w:val="005B16E3"/>
    <w:rsid w:val="005B38DA"/>
    <w:rsid w:val="005B3BBF"/>
    <w:rsid w:val="005B4B9B"/>
    <w:rsid w:val="005B5519"/>
    <w:rsid w:val="005B65DF"/>
    <w:rsid w:val="005B67B7"/>
    <w:rsid w:val="005B6E0F"/>
    <w:rsid w:val="005B70D7"/>
    <w:rsid w:val="005B74E1"/>
    <w:rsid w:val="005C1C93"/>
    <w:rsid w:val="005C2BDF"/>
    <w:rsid w:val="005C2D9F"/>
    <w:rsid w:val="005C3D66"/>
    <w:rsid w:val="005C4453"/>
    <w:rsid w:val="005C4854"/>
    <w:rsid w:val="005C4FA4"/>
    <w:rsid w:val="005C513B"/>
    <w:rsid w:val="005C54A6"/>
    <w:rsid w:val="005C5549"/>
    <w:rsid w:val="005C639E"/>
    <w:rsid w:val="005D035B"/>
    <w:rsid w:val="005D04E1"/>
    <w:rsid w:val="005D05E3"/>
    <w:rsid w:val="005D1019"/>
    <w:rsid w:val="005D17B9"/>
    <w:rsid w:val="005D1BA8"/>
    <w:rsid w:val="005D2251"/>
    <w:rsid w:val="005D2C0D"/>
    <w:rsid w:val="005D3625"/>
    <w:rsid w:val="005D36FE"/>
    <w:rsid w:val="005D43F0"/>
    <w:rsid w:val="005D492F"/>
    <w:rsid w:val="005D6386"/>
    <w:rsid w:val="005D64D5"/>
    <w:rsid w:val="005D6F50"/>
    <w:rsid w:val="005D7DD7"/>
    <w:rsid w:val="005D7F61"/>
    <w:rsid w:val="005E1166"/>
    <w:rsid w:val="005E5861"/>
    <w:rsid w:val="005E7B8E"/>
    <w:rsid w:val="005F09F4"/>
    <w:rsid w:val="005F0CA0"/>
    <w:rsid w:val="005F26CF"/>
    <w:rsid w:val="005F2B7F"/>
    <w:rsid w:val="005F2F1B"/>
    <w:rsid w:val="005F33E5"/>
    <w:rsid w:val="005F4F2F"/>
    <w:rsid w:val="005F54DE"/>
    <w:rsid w:val="005F644D"/>
    <w:rsid w:val="005F702D"/>
    <w:rsid w:val="006017FA"/>
    <w:rsid w:val="00601960"/>
    <w:rsid w:val="00603AE5"/>
    <w:rsid w:val="006079CC"/>
    <w:rsid w:val="006079F1"/>
    <w:rsid w:val="00607AE9"/>
    <w:rsid w:val="00613CCE"/>
    <w:rsid w:val="00614EB4"/>
    <w:rsid w:val="00615CCF"/>
    <w:rsid w:val="00616738"/>
    <w:rsid w:val="00616ABD"/>
    <w:rsid w:val="006216DC"/>
    <w:rsid w:val="0062197D"/>
    <w:rsid w:val="00622635"/>
    <w:rsid w:val="006226AA"/>
    <w:rsid w:val="006251DC"/>
    <w:rsid w:val="00625289"/>
    <w:rsid w:val="0062614F"/>
    <w:rsid w:val="006270A7"/>
    <w:rsid w:val="006309C8"/>
    <w:rsid w:val="00631F41"/>
    <w:rsid w:val="00632C62"/>
    <w:rsid w:val="00632F23"/>
    <w:rsid w:val="00634279"/>
    <w:rsid w:val="006344CC"/>
    <w:rsid w:val="006359DC"/>
    <w:rsid w:val="006366EC"/>
    <w:rsid w:val="00640029"/>
    <w:rsid w:val="00640227"/>
    <w:rsid w:val="0064612E"/>
    <w:rsid w:val="00646910"/>
    <w:rsid w:val="006503BE"/>
    <w:rsid w:val="006504FD"/>
    <w:rsid w:val="006508EE"/>
    <w:rsid w:val="00650979"/>
    <w:rsid w:val="006516D3"/>
    <w:rsid w:val="00654BF9"/>
    <w:rsid w:val="00654D92"/>
    <w:rsid w:val="00654E05"/>
    <w:rsid w:val="00655CEF"/>
    <w:rsid w:val="006561D0"/>
    <w:rsid w:val="006623B1"/>
    <w:rsid w:val="00662AAB"/>
    <w:rsid w:val="00662F82"/>
    <w:rsid w:val="00664952"/>
    <w:rsid w:val="00664DF0"/>
    <w:rsid w:val="0066537B"/>
    <w:rsid w:val="00666111"/>
    <w:rsid w:val="00667172"/>
    <w:rsid w:val="00670B86"/>
    <w:rsid w:val="00670EA3"/>
    <w:rsid w:val="00672D2D"/>
    <w:rsid w:val="0067430C"/>
    <w:rsid w:val="00675377"/>
    <w:rsid w:val="006762FD"/>
    <w:rsid w:val="00676C71"/>
    <w:rsid w:val="006778DD"/>
    <w:rsid w:val="0068019D"/>
    <w:rsid w:val="00680A28"/>
    <w:rsid w:val="006811FE"/>
    <w:rsid w:val="0068184E"/>
    <w:rsid w:val="0068216D"/>
    <w:rsid w:val="00682CAD"/>
    <w:rsid w:val="00684558"/>
    <w:rsid w:val="00684796"/>
    <w:rsid w:val="00684A1B"/>
    <w:rsid w:val="0068535F"/>
    <w:rsid w:val="00685746"/>
    <w:rsid w:val="0068616F"/>
    <w:rsid w:val="00686687"/>
    <w:rsid w:val="006867AF"/>
    <w:rsid w:val="006869D7"/>
    <w:rsid w:val="00686A46"/>
    <w:rsid w:val="00690116"/>
    <w:rsid w:val="006908EE"/>
    <w:rsid w:val="00690931"/>
    <w:rsid w:val="00690F69"/>
    <w:rsid w:val="0069112A"/>
    <w:rsid w:val="0069188E"/>
    <w:rsid w:val="0069200E"/>
    <w:rsid w:val="00692C76"/>
    <w:rsid w:val="00693041"/>
    <w:rsid w:val="00693F63"/>
    <w:rsid w:val="00695682"/>
    <w:rsid w:val="00695FB1"/>
    <w:rsid w:val="006963F0"/>
    <w:rsid w:val="00696416"/>
    <w:rsid w:val="006967A5"/>
    <w:rsid w:val="006A1235"/>
    <w:rsid w:val="006A1919"/>
    <w:rsid w:val="006A2E9D"/>
    <w:rsid w:val="006A31CF"/>
    <w:rsid w:val="006A3B3C"/>
    <w:rsid w:val="006A45BB"/>
    <w:rsid w:val="006A583A"/>
    <w:rsid w:val="006B2A63"/>
    <w:rsid w:val="006B36CA"/>
    <w:rsid w:val="006B67E2"/>
    <w:rsid w:val="006B75C7"/>
    <w:rsid w:val="006B7806"/>
    <w:rsid w:val="006B7849"/>
    <w:rsid w:val="006B7C8F"/>
    <w:rsid w:val="006C0A9C"/>
    <w:rsid w:val="006C0EBA"/>
    <w:rsid w:val="006C10D4"/>
    <w:rsid w:val="006C18C4"/>
    <w:rsid w:val="006C241C"/>
    <w:rsid w:val="006C3B3C"/>
    <w:rsid w:val="006C3D02"/>
    <w:rsid w:val="006C6272"/>
    <w:rsid w:val="006C7204"/>
    <w:rsid w:val="006C757D"/>
    <w:rsid w:val="006C7778"/>
    <w:rsid w:val="006C7829"/>
    <w:rsid w:val="006C79C5"/>
    <w:rsid w:val="006D01FB"/>
    <w:rsid w:val="006D02F4"/>
    <w:rsid w:val="006D0462"/>
    <w:rsid w:val="006D1687"/>
    <w:rsid w:val="006D1D6F"/>
    <w:rsid w:val="006D2005"/>
    <w:rsid w:val="006D21C7"/>
    <w:rsid w:val="006D3917"/>
    <w:rsid w:val="006D4C9E"/>
    <w:rsid w:val="006D4F39"/>
    <w:rsid w:val="006D6149"/>
    <w:rsid w:val="006D73E5"/>
    <w:rsid w:val="006D749F"/>
    <w:rsid w:val="006D7732"/>
    <w:rsid w:val="006E0AE0"/>
    <w:rsid w:val="006E2925"/>
    <w:rsid w:val="006E444B"/>
    <w:rsid w:val="006E4E92"/>
    <w:rsid w:val="006E6857"/>
    <w:rsid w:val="006E76BB"/>
    <w:rsid w:val="006E7E77"/>
    <w:rsid w:val="006F0204"/>
    <w:rsid w:val="006F0B5B"/>
    <w:rsid w:val="006F1390"/>
    <w:rsid w:val="006F31F7"/>
    <w:rsid w:val="006F3595"/>
    <w:rsid w:val="006F36AA"/>
    <w:rsid w:val="006F3D4F"/>
    <w:rsid w:val="006F6249"/>
    <w:rsid w:val="00701F36"/>
    <w:rsid w:val="00702C0B"/>
    <w:rsid w:val="00702EDD"/>
    <w:rsid w:val="007031A8"/>
    <w:rsid w:val="0070432E"/>
    <w:rsid w:val="0070477C"/>
    <w:rsid w:val="0070558E"/>
    <w:rsid w:val="007073DA"/>
    <w:rsid w:val="00710327"/>
    <w:rsid w:val="00710C6C"/>
    <w:rsid w:val="00710FAB"/>
    <w:rsid w:val="0071205E"/>
    <w:rsid w:val="007130C8"/>
    <w:rsid w:val="0071357E"/>
    <w:rsid w:val="00716725"/>
    <w:rsid w:val="00716F74"/>
    <w:rsid w:val="00717B41"/>
    <w:rsid w:val="00717C62"/>
    <w:rsid w:val="00717CA9"/>
    <w:rsid w:val="00720A9C"/>
    <w:rsid w:val="007213C9"/>
    <w:rsid w:val="00721464"/>
    <w:rsid w:val="0072298F"/>
    <w:rsid w:val="00722E26"/>
    <w:rsid w:val="0072370A"/>
    <w:rsid w:val="00723DA5"/>
    <w:rsid w:val="00725F7F"/>
    <w:rsid w:val="00726756"/>
    <w:rsid w:val="007300E3"/>
    <w:rsid w:val="00731268"/>
    <w:rsid w:val="007317DC"/>
    <w:rsid w:val="00732066"/>
    <w:rsid w:val="00733CA7"/>
    <w:rsid w:val="00734243"/>
    <w:rsid w:val="00734996"/>
    <w:rsid w:val="0073556B"/>
    <w:rsid w:val="00735F1D"/>
    <w:rsid w:val="00736566"/>
    <w:rsid w:val="007411AC"/>
    <w:rsid w:val="00741D83"/>
    <w:rsid w:val="00742435"/>
    <w:rsid w:val="007428F4"/>
    <w:rsid w:val="007439E5"/>
    <w:rsid w:val="007439EF"/>
    <w:rsid w:val="00743CD6"/>
    <w:rsid w:val="00743EB6"/>
    <w:rsid w:val="007450E8"/>
    <w:rsid w:val="0074595F"/>
    <w:rsid w:val="007468B8"/>
    <w:rsid w:val="00746A1B"/>
    <w:rsid w:val="00747E16"/>
    <w:rsid w:val="00747F63"/>
    <w:rsid w:val="007501AF"/>
    <w:rsid w:val="00751B12"/>
    <w:rsid w:val="00754569"/>
    <w:rsid w:val="0075484E"/>
    <w:rsid w:val="007548FB"/>
    <w:rsid w:val="00755038"/>
    <w:rsid w:val="007554DF"/>
    <w:rsid w:val="00755631"/>
    <w:rsid w:val="00756E3A"/>
    <w:rsid w:val="007577D0"/>
    <w:rsid w:val="00757B39"/>
    <w:rsid w:val="00760F2B"/>
    <w:rsid w:val="00761828"/>
    <w:rsid w:val="0076217D"/>
    <w:rsid w:val="0076278A"/>
    <w:rsid w:val="00763907"/>
    <w:rsid w:val="00763C4C"/>
    <w:rsid w:val="0076648F"/>
    <w:rsid w:val="00766B8F"/>
    <w:rsid w:val="007703EF"/>
    <w:rsid w:val="007707F6"/>
    <w:rsid w:val="00770909"/>
    <w:rsid w:val="00771444"/>
    <w:rsid w:val="00772416"/>
    <w:rsid w:val="00774130"/>
    <w:rsid w:val="00774882"/>
    <w:rsid w:val="007754C8"/>
    <w:rsid w:val="007764A8"/>
    <w:rsid w:val="007800FF"/>
    <w:rsid w:val="007836EB"/>
    <w:rsid w:val="00786F42"/>
    <w:rsid w:val="00786F91"/>
    <w:rsid w:val="00790B38"/>
    <w:rsid w:val="007916BB"/>
    <w:rsid w:val="00791B32"/>
    <w:rsid w:val="007921B2"/>
    <w:rsid w:val="00793618"/>
    <w:rsid w:val="00796C2E"/>
    <w:rsid w:val="0079772A"/>
    <w:rsid w:val="00797C8F"/>
    <w:rsid w:val="007A00A4"/>
    <w:rsid w:val="007A0B64"/>
    <w:rsid w:val="007A1FCD"/>
    <w:rsid w:val="007A24F9"/>
    <w:rsid w:val="007A3997"/>
    <w:rsid w:val="007A4579"/>
    <w:rsid w:val="007A46C3"/>
    <w:rsid w:val="007A4F37"/>
    <w:rsid w:val="007A5039"/>
    <w:rsid w:val="007A5B40"/>
    <w:rsid w:val="007A70AD"/>
    <w:rsid w:val="007B05D9"/>
    <w:rsid w:val="007B091B"/>
    <w:rsid w:val="007B0B87"/>
    <w:rsid w:val="007B359E"/>
    <w:rsid w:val="007B3ABF"/>
    <w:rsid w:val="007B3B6C"/>
    <w:rsid w:val="007B560B"/>
    <w:rsid w:val="007B5E26"/>
    <w:rsid w:val="007B6066"/>
    <w:rsid w:val="007B623D"/>
    <w:rsid w:val="007B6998"/>
    <w:rsid w:val="007B6E7D"/>
    <w:rsid w:val="007B7269"/>
    <w:rsid w:val="007B7CFC"/>
    <w:rsid w:val="007B7DF8"/>
    <w:rsid w:val="007C01A4"/>
    <w:rsid w:val="007C0533"/>
    <w:rsid w:val="007C1BE8"/>
    <w:rsid w:val="007C267C"/>
    <w:rsid w:val="007C2E0C"/>
    <w:rsid w:val="007C4176"/>
    <w:rsid w:val="007C571D"/>
    <w:rsid w:val="007C59C1"/>
    <w:rsid w:val="007C5EDE"/>
    <w:rsid w:val="007C7421"/>
    <w:rsid w:val="007C7A6E"/>
    <w:rsid w:val="007D04E0"/>
    <w:rsid w:val="007D096E"/>
    <w:rsid w:val="007D0E46"/>
    <w:rsid w:val="007D1EA0"/>
    <w:rsid w:val="007D22EB"/>
    <w:rsid w:val="007D3041"/>
    <w:rsid w:val="007D41A3"/>
    <w:rsid w:val="007D56BB"/>
    <w:rsid w:val="007D5F2F"/>
    <w:rsid w:val="007D61B5"/>
    <w:rsid w:val="007D69A4"/>
    <w:rsid w:val="007D7CF3"/>
    <w:rsid w:val="007E13FC"/>
    <w:rsid w:val="007E148C"/>
    <w:rsid w:val="007E1674"/>
    <w:rsid w:val="007E17FF"/>
    <w:rsid w:val="007E1EF5"/>
    <w:rsid w:val="007E2DC1"/>
    <w:rsid w:val="007E3438"/>
    <w:rsid w:val="007E3826"/>
    <w:rsid w:val="007E4A55"/>
    <w:rsid w:val="007E4ED5"/>
    <w:rsid w:val="007E5255"/>
    <w:rsid w:val="007E5EC9"/>
    <w:rsid w:val="007E7A14"/>
    <w:rsid w:val="007E7AA9"/>
    <w:rsid w:val="007F0933"/>
    <w:rsid w:val="007F18EE"/>
    <w:rsid w:val="007F3BF1"/>
    <w:rsid w:val="007F5908"/>
    <w:rsid w:val="007F5BD7"/>
    <w:rsid w:val="007F6217"/>
    <w:rsid w:val="007F6443"/>
    <w:rsid w:val="008001A0"/>
    <w:rsid w:val="008003CC"/>
    <w:rsid w:val="008005F2"/>
    <w:rsid w:val="008014EC"/>
    <w:rsid w:val="00801AD0"/>
    <w:rsid w:val="00801CD8"/>
    <w:rsid w:val="00801DC8"/>
    <w:rsid w:val="00802F62"/>
    <w:rsid w:val="00804CFB"/>
    <w:rsid w:val="00804EED"/>
    <w:rsid w:val="008054B6"/>
    <w:rsid w:val="008055DF"/>
    <w:rsid w:val="00805B07"/>
    <w:rsid w:val="00807113"/>
    <w:rsid w:val="008076C4"/>
    <w:rsid w:val="0081017D"/>
    <w:rsid w:val="008118CA"/>
    <w:rsid w:val="00811B8C"/>
    <w:rsid w:val="00812026"/>
    <w:rsid w:val="008147D4"/>
    <w:rsid w:val="00817133"/>
    <w:rsid w:val="0081745F"/>
    <w:rsid w:val="00817E89"/>
    <w:rsid w:val="00820660"/>
    <w:rsid w:val="008207ED"/>
    <w:rsid w:val="0082221C"/>
    <w:rsid w:val="0082356E"/>
    <w:rsid w:val="00823D47"/>
    <w:rsid w:val="00824DFE"/>
    <w:rsid w:val="0082578D"/>
    <w:rsid w:val="00825A40"/>
    <w:rsid w:val="0082639B"/>
    <w:rsid w:val="00826526"/>
    <w:rsid w:val="00827B70"/>
    <w:rsid w:val="0083150C"/>
    <w:rsid w:val="00832853"/>
    <w:rsid w:val="00833128"/>
    <w:rsid w:val="00833A41"/>
    <w:rsid w:val="00833E57"/>
    <w:rsid w:val="0083404F"/>
    <w:rsid w:val="00834A01"/>
    <w:rsid w:val="00835791"/>
    <w:rsid w:val="00837719"/>
    <w:rsid w:val="00837832"/>
    <w:rsid w:val="00840932"/>
    <w:rsid w:val="008434ED"/>
    <w:rsid w:val="00845190"/>
    <w:rsid w:val="008452DB"/>
    <w:rsid w:val="00846694"/>
    <w:rsid w:val="008501D9"/>
    <w:rsid w:val="00851F24"/>
    <w:rsid w:val="00852846"/>
    <w:rsid w:val="00852C1B"/>
    <w:rsid w:val="00852F50"/>
    <w:rsid w:val="00853848"/>
    <w:rsid w:val="00853903"/>
    <w:rsid w:val="00853E09"/>
    <w:rsid w:val="00855A2D"/>
    <w:rsid w:val="00856124"/>
    <w:rsid w:val="008565B1"/>
    <w:rsid w:val="008566F2"/>
    <w:rsid w:val="0085720B"/>
    <w:rsid w:val="0085728C"/>
    <w:rsid w:val="00860509"/>
    <w:rsid w:val="00860584"/>
    <w:rsid w:val="00860F62"/>
    <w:rsid w:val="00861D7D"/>
    <w:rsid w:val="00862006"/>
    <w:rsid w:val="00864F8D"/>
    <w:rsid w:val="00865CC5"/>
    <w:rsid w:val="00866CD6"/>
    <w:rsid w:val="008677B6"/>
    <w:rsid w:val="0087035D"/>
    <w:rsid w:val="00871917"/>
    <w:rsid w:val="00873799"/>
    <w:rsid w:val="00873C98"/>
    <w:rsid w:val="00873DDF"/>
    <w:rsid w:val="00874628"/>
    <w:rsid w:val="00875011"/>
    <w:rsid w:val="00877E6D"/>
    <w:rsid w:val="0088081C"/>
    <w:rsid w:val="00880D52"/>
    <w:rsid w:val="008812C7"/>
    <w:rsid w:val="008816F6"/>
    <w:rsid w:val="00883E78"/>
    <w:rsid w:val="00884B5D"/>
    <w:rsid w:val="00890B03"/>
    <w:rsid w:val="00891652"/>
    <w:rsid w:val="00891B08"/>
    <w:rsid w:val="008948C3"/>
    <w:rsid w:val="00894A44"/>
    <w:rsid w:val="00894D26"/>
    <w:rsid w:val="008955F6"/>
    <w:rsid w:val="008959B7"/>
    <w:rsid w:val="00895A87"/>
    <w:rsid w:val="008974F1"/>
    <w:rsid w:val="00897FFE"/>
    <w:rsid w:val="008A0A5F"/>
    <w:rsid w:val="008A226C"/>
    <w:rsid w:val="008A414C"/>
    <w:rsid w:val="008A7B8D"/>
    <w:rsid w:val="008B10A6"/>
    <w:rsid w:val="008B1C3D"/>
    <w:rsid w:val="008B215F"/>
    <w:rsid w:val="008B29A5"/>
    <w:rsid w:val="008B3EB8"/>
    <w:rsid w:val="008B43A6"/>
    <w:rsid w:val="008B5344"/>
    <w:rsid w:val="008B5BD5"/>
    <w:rsid w:val="008B6F5F"/>
    <w:rsid w:val="008C00EE"/>
    <w:rsid w:val="008C02EE"/>
    <w:rsid w:val="008C346A"/>
    <w:rsid w:val="008C3906"/>
    <w:rsid w:val="008C44BE"/>
    <w:rsid w:val="008C49DB"/>
    <w:rsid w:val="008C5604"/>
    <w:rsid w:val="008C6337"/>
    <w:rsid w:val="008C6688"/>
    <w:rsid w:val="008C6D2F"/>
    <w:rsid w:val="008C7E92"/>
    <w:rsid w:val="008D077E"/>
    <w:rsid w:val="008D16C8"/>
    <w:rsid w:val="008D2C03"/>
    <w:rsid w:val="008D395C"/>
    <w:rsid w:val="008D53F3"/>
    <w:rsid w:val="008D576D"/>
    <w:rsid w:val="008D617C"/>
    <w:rsid w:val="008E017E"/>
    <w:rsid w:val="008E0D81"/>
    <w:rsid w:val="008E15AB"/>
    <w:rsid w:val="008E3058"/>
    <w:rsid w:val="008E38E7"/>
    <w:rsid w:val="008E3F87"/>
    <w:rsid w:val="008E594E"/>
    <w:rsid w:val="008E6556"/>
    <w:rsid w:val="008E67AC"/>
    <w:rsid w:val="008E726D"/>
    <w:rsid w:val="008E7EA7"/>
    <w:rsid w:val="008F0685"/>
    <w:rsid w:val="008F0C72"/>
    <w:rsid w:val="008F121C"/>
    <w:rsid w:val="008F1C3B"/>
    <w:rsid w:val="008F254F"/>
    <w:rsid w:val="008F2557"/>
    <w:rsid w:val="008F283C"/>
    <w:rsid w:val="008F2ED1"/>
    <w:rsid w:val="008F2FBF"/>
    <w:rsid w:val="008F4B6E"/>
    <w:rsid w:val="008F4D74"/>
    <w:rsid w:val="008F516C"/>
    <w:rsid w:val="008F581C"/>
    <w:rsid w:val="008F7BE2"/>
    <w:rsid w:val="0090067E"/>
    <w:rsid w:val="00900789"/>
    <w:rsid w:val="00901732"/>
    <w:rsid w:val="00902021"/>
    <w:rsid w:val="00902698"/>
    <w:rsid w:val="00902C08"/>
    <w:rsid w:val="00904131"/>
    <w:rsid w:val="00904EA6"/>
    <w:rsid w:val="00904FF6"/>
    <w:rsid w:val="00906EC7"/>
    <w:rsid w:val="009075EC"/>
    <w:rsid w:val="009076FC"/>
    <w:rsid w:val="00907AC2"/>
    <w:rsid w:val="00910D28"/>
    <w:rsid w:val="00912CA1"/>
    <w:rsid w:val="00912D04"/>
    <w:rsid w:val="00913A69"/>
    <w:rsid w:val="009162C8"/>
    <w:rsid w:val="009207C2"/>
    <w:rsid w:val="00920976"/>
    <w:rsid w:val="0092129B"/>
    <w:rsid w:val="009212F4"/>
    <w:rsid w:val="00921AA0"/>
    <w:rsid w:val="009221BF"/>
    <w:rsid w:val="00922A9C"/>
    <w:rsid w:val="00923020"/>
    <w:rsid w:val="00924E06"/>
    <w:rsid w:val="009255AF"/>
    <w:rsid w:val="0092666E"/>
    <w:rsid w:val="00926F4A"/>
    <w:rsid w:val="00930521"/>
    <w:rsid w:val="0093059D"/>
    <w:rsid w:val="00931204"/>
    <w:rsid w:val="009312FF"/>
    <w:rsid w:val="009336DA"/>
    <w:rsid w:val="009348D9"/>
    <w:rsid w:val="00934D58"/>
    <w:rsid w:val="009375A4"/>
    <w:rsid w:val="00937652"/>
    <w:rsid w:val="009427B2"/>
    <w:rsid w:val="00942D6E"/>
    <w:rsid w:val="0094489D"/>
    <w:rsid w:val="0094568C"/>
    <w:rsid w:val="0094583A"/>
    <w:rsid w:val="00947020"/>
    <w:rsid w:val="0094724D"/>
    <w:rsid w:val="00947870"/>
    <w:rsid w:val="00947D1F"/>
    <w:rsid w:val="00951FC2"/>
    <w:rsid w:val="00952809"/>
    <w:rsid w:val="0095318C"/>
    <w:rsid w:val="0095359A"/>
    <w:rsid w:val="0095362A"/>
    <w:rsid w:val="009547F2"/>
    <w:rsid w:val="00955055"/>
    <w:rsid w:val="009559B5"/>
    <w:rsid w:val="00956DBC"/>
    <w:rsid w:val="009623AB"/>
    <w:rsid w:val="00962D45"/>
    <w:rsid w:val="00963055"/>
    <w:rsid w:val="00963B11"/>
    <w:rsid w:val="00963B91"/>
    <w:rsid w:val="0096407A"/>
    <w:rsid w:val="00964C83"/>
    <w:rsid w:val="00965CE2"/>
    <w:rsid w:val="00966B72"/>
    <w:rsid w:val="00967C19"/>
    <w:rsid w:val="0097000C"/>
    <w:rsid w:val="00970A81"/>
    <w:rsid w:val="00971903"/>
    <w:rsid w:val="00972564"/>
    <w:rsid w:val="009725E2"/>
    <w:rsid w:val="009731D7"/>
    <w:rsid w:val="009739B7"/>
    <w:rsid w:val="00974AC4"/>
    <w:rsid w:val="00974FAE"/>
    <w:rsid w:val="00975E5D"/>
    <w:rsid w:val="00976A8C"/>
    <w:rsid w:val="009803C3"/>
    <w:rsid w:val="0098499D"/>
    <w:rsid w:val="0098533C"/>
    <w:rsid w:val="00987040"/>
    <w:rsid w:val="009876A8"/>
    <w:rsid w:val="009903CD"/>
    <w:rsid w:val="009929DC"/>
    <w:rsid w:val="00992F99"/>
    <w:rsid w:val="00993C18"/>
    <w:rsid w:val="00994606"/>
    <w:rsid w:val="00994A4C"/>
    <w:rsid w:val="00996D5E"/>
    <w:rsid w:val="009971D2"/>
    <w:rsid w:val="00997630"/>
    <w:rsid w:val="009A048D"/>
    <w:rsid w:val="009A0713"/>
    <w:rsid w:val="009A0874"/>
    <w:rsid w:val="009A2CCC"/>
    <w:rsid w:val="009A3879"/>
    <w:rsid w:val="009A3C65"/>
    <w:rsid w:val="009A45BA"/>
    <w:rsid w:val="009A4A4F"/>
    <w:rsid w:val="009A4CAC"/>
    <w:rsid w:val="009A58B7"/>
    <w:rsid w:val="009A605E"/>
    <w:rsid w:val="009A614E"/>
    <w:rsid w:val="009A724C"/>
    <w:rsid w:val="009A7AC8"/>
    <w:rsid w:val="009B0130"/>
    <w:rsid w:val="009B2269"/>
    <w:rsid w:val="009B246D"/>
    <w:rsid w:val="009B25AE"/>
    <w:rsid w:val="009B2D62"/>
    <w:rsid w:val="009B3207"/>
    <w:rsid w:val="009B3F16"/>
    <w:rsid w:val="009B4521"/>
    <w:rsid w:val="009B4DDF"/>
    <w:rsid w:val="009B5AC4"/>
    <w:rsid w:val="009B781B"/>
    <w:rsid w:val="009C081C"/>
    <w:rsid w:val="009C1136"/>
    <w:rsid w:val="009C156A"/>
    <w:rsid w:val="009C2032"/>
    <w:rsid w:val="009C2EDA"/>
    <w:rsid w:val="009C2FCD"/>
    <w:rsid w:val="009C389A"/>
    <w:rsid w:val="009C4BF8"/>
    <w:rsid w:val="009C6466"/>
    <w:rsid w:val="009C672A"/>
    <w:rsid w:val="009C6974"/>
    <w:rsid w:val="009C75EF"/>
    <w:rsid w:val="009C7EF7"/>
    <w:rsid w:val="009D1CA7"/>
    <w:rsid w:val="009D1F34"/>
    <w:rsid w:val="009D2AFC"/>
    <w:rsid w:val="009D3F23"/>
    <w:rsid w:val="009D5AE3"/>
    <w:rsid w:val="009D727F"/>
    <w:rsid w:val="009D765C"/>
    <w:rsid w:val="009E07C1"/>
    <w:rsid w:val="009E2866"/>
    <w:rsid w:val="009E327E"/>
    <w:rsid w:val="009E45E9"/>
    <w:rsid w:val="009E5092"/>
    <w:rsid w:val="009E5192"/>
    <w:rsid w:val="009E5E90"/>
    <w:rsid w:val="009E666F"/>
    <w:rsid w:val="009E6922"/>
    <w:rsid w:val="009E6C34"/>
    <w:rsid w:val="009E7255"/>
    <w:rsid w:val="009E7CDF"/>
    <w:rsid w:val="009F0758"/>
    <w:rsid w:val="009F0B83"/>
    <w:rsid w:val="009F0DD9"/>
    <w:rsid w:val="009F0EE5"/>
    <w:rsid w:val="009F1ED0"/>
    <w:rsid w:val="009F2990"/>
    <w:rsid w:val="009F2C2F"/>
    <w:rsid w:val="009F35AD"/>
    <w:rsid w:val="009F488E"/>
    <w:rsid w:val="009F78F4"/>
    <w:rsid w:val="009F78F7"/>
    <w:rsid w:val="009F7F93"/>
    <w:rsid w:val="00A0018C"/>
    <w:rsid w:val="00A00BA7"/>
    <w:rsid w:val="00A01586"/>
    <w:rsid w:val="00A01A26"/>
    <w:rsid w:val="00A01C7B"/>
    <w:rsid w:val="00A01FE0"/>
    <w:rsid w:val="00A022D3"/>
    <w:rsid w:val="00A0288B"/>
    <w:rsid w:val="00A049E5"/>
    <w:rsid w:val="00A054A2"/>
    <w:rsid w:val="00A060C3"/>
    <w:rsid w:val="00A079B6"/>
    <w:rsid w:val="00A107A8"/>
    <w:rsid w:val="00A11A4B"/>
    <w:rsid w:val="00A12C2D"/>
    <w:rsid w:val="00A12DC7"/>
    <w:rsid w:val="00A1383F"/>
    <w:rsid w:val="00A140F0"/>
    <w:rsid w:val="00A156E1"/>
    <w:rsid w:val="00A158B5"/>
    <w:rsid w:val="00A15FA1"/>
    <w:rsid w:val="00A169CD"/>
    <w:rsid w:val="00A169FF"/>
    <w:rsid w:val="00A17610"/>
    <w:rsid w:val="00A1799D"/>
    <w:rsid w:val="00A17DF0"/>
    <w:rsid w:val="00A20407"/>
    <w:rsid w:val="00A205C0"/>
    <w:rsid w:val="00A2069D"/>
    <w:rsid w:val="00A2155A"/>
    <w:rsid w:val="00A2185F"/>
    <w:rsid w:val="00A22A8A"/>
    <w:rsid w:val="00A22D95"/>
    <w:rsid w:val="00A23257"/>
    <w:rsid w:val="00A2329B"/>
    <w:rsid w:val="00A24A2B"/>
    <w:rsid w:val="00A25303"/>
    <w:rsid w:val="00A2587F"/>
    <w:rsid w:val="00A25F70"/>
    <w:rsid w:val="00A2767D"/>
    <w:rsid w:val="00A27834"/>
    <w:rsid w:val="00A31A6E"/>
    <w:rsid w:val="00A31D2A"/>
    <w:rsid w:val="00A32031"/>
    <w:rsid w:val="00A3235E"/>
    <w:rsid w:val="00A34E00"/>
    <w:rsid w:val="00A353B6"/>
    <w:rsid w:val="00A358CE"/>
    <w:rsid w:val="00A37C38"/>
    <w:rsid w:val="00A40280"/>
    <w:rsid w:val="00A4078A"/>
    <w:rsid w:val="00A40B82"/>
    <w:rsid w:val="00A452F8"/>
    <w:rsid w:val="00A4575F"/>
    <w:rsid w:val="00A46653"/>
    <w:rsid w:val="00A47055"/>
    <w:rsid w:val="00A539DE"/>
    <w:rsid w:val="00A547CA"/>
    <w:rsid w:val="00A55018"/>
    <w:rsid w:val="00A55358"/>
    <w:rsid w:val="00A55711"/>
    <w:rsid w:val="00A56475"/>
    <w:rsid w:val="00A60088"/>
    <w:rsid w:val="00A600E6"/>
    <w:rsid w:val="00A622E1"/>
    <w:rsid w:val="00A62DB4"/>
    <w:rsid w:val="00A634CA"/>
    <w:rsid w:val="00A664A6"/>
    <w:rsid w:val="00A67E9F"/>
    <w:rsid w:val="00A70795"/>
    <w:rsid w:val="00A709A1"/>
    <w:rsid w:val="00A70CD9"/>
    <w:rsid w:val="00A710C9"/>
    <w:rsid w:val="00A7118E"/>
    <w:rsid w:val="00A73A88"/>
    <w:rsid w:val="00A751B6"/>
    <w:rsid w:val="00A7614F"/>
    <w:rsid w:val="00A76D97"/>
    <w:rsid w:val="00A7724C"/>
    <w:rsid w:val="00A77962"/>
    <w:rsid w:val="00A810DF"/>
    <w:rsid w:val="00A814C8"/>
    <w:rsid w:val="00A83048"/>
    <w:rsid w:val="00A83D43"/>
    <w:rsid w:val="00A83DBD"/>
    <w:rsid w:val="00A84442"/>
    <w:rsid w:val="00A8602A"/>
    <w:rsid w:val="00A86E33"/>
    <w:rsid w:val="00A900F1"/>
    <w:rsid w:val="00A91662"/>
    <w:rsid w:val="00A93206"/>
    <w:rsid w:val="00A94FC2"/>
    <w:rsid w:val="00A95A44"/>
    <w:rsid w:val="00A95A54"/>
    <w:rsid w:val="00A95DA3"/>
    <w:rsid w:val="00A9611D"/>
    <w:rsid w:val="00A9706E"/>
    <w:rsid w:val="00AA0291"/>
    <w:rsid w:val="00AA168F"/>
    <w:rsid w:val="00AA2847"/>
    <w:rsid w:val="00AA2F4F"/>
    <w:rsid w:val="00AA318C"/>
    <w:rsid w:val="00AA40C9"/>
    <w:rsid w:val="00AA47C4"/>
    <w:rsid w:val="00AA5408"/>
    <w:rsid w:val="00AA5D21"/>
    <w:rsid w:val="00AA5F01"/>
    <w:rsid w:val="00AA6926"/>
    <w:rsid w:val="00AA79EF"/>
    <w:rsid w:val="00AB17B3"/>
    <w:rsid w:val="00AB2D16"/>
    <w:rsid w:val="00AB4C0F"/>
    <w:rsid w:val="00AB4E64"/>
    <w:rsid w:val="00AB5138"/>
    <w:rsid w:val="00AB541C"/>
    <w:rsid w:val="00AB5735"/>
    <w:rsid w:val="00AB640C"/>
    <w:rsid w:val="00AB70B2"/>
    <w:rsid w:val="00AB72FF"/>
    <w:rsid w:val="00AB77C2"/>
    <w:rsid w:val="00AB7E79"/>
    <w:rsid w:val="00AC06A8"/>
    <w:rsid w:val="00AC13DC"/>
    <w:rsid w:val="00AC1849"/>
    <w:rsid w:val="00AC1A5B"/>
    <w:rsid w:val="00AC1BCF"/>
    <w:rsid w:val="00AC204B"/>
    <w:rsid w:val="00AC3618"/>
    <w:rsid w:val="00AC5DF7"/>
    <w:rsid w:val="00AC6169"/>
    <w:rsid w:val="00AC6DC1"/>
    <w:rsid w:val="00AC7296"/>
    <w:rsid w:val="00AD271D"/>
    <w:rsid w:val="00AD303A"/>
    <w:rsid w:val="00AD31B9"/>
    <w:rsid w:val="00AD3824"/>
    <w:rsid w:val="00AD39C2"/>
    <w:rsid w:val="00AD3F10"/>
    <w:rsid w:val="00AD6C2B"/>
    <w:rsid w:val="00AE0ADE"/>
    <w:rsid w:val="00AE0B12"/>
    <w:rsid w:val="00AE0B7C"/>
    <w:rsid w:val="00AE17A6"/>
    <w:rsid w:val="00AE1C43"/>
    <w:rsid w:val="00AE26EB"/>
    <w:rsid w:val="00AE3838"/>
    <w:rsid w:val="00AE3D5B"/>
    <w:rsid w:val="00AE76FD"/>
    <w:rsid w:val="00AE7722"/>
    <w:rsid w:val="00AE79D6"/>
    <w:rsid w:val="00AF1D21"/>
    <w:rsid w:val="00AF3518"/>
    <w:rsid w:val="00AF4900"/>
    <w:rsid w:val="00AF63BC"/>
    <w:rsid w:val="00AF709B"/>
    <w:rsid w:val="00AF7584"/>
    <w:rsid w:val="00B0073B"/>
    <w:rsid w:val="00B05835"/>
    <w:rsid w:val="00B059B8"/>
    <w:rsid w:val="00B0609D"/>
    <w:rsid w:val="00B0723B"/>
    <w:rsid w:val="00B075B9"/>
    <w:rsid w:val="00B07CD5"/>
    <w:rsid w:val="00B10652"/>
    <w:rsid w:val="00B10746"/>
    <w:rsid w:val="00B1089A"/>
    <w:rsid w:val="00B11871"/>
    <w:rsid w:val="00B11C03"/>
    <w:rsid w:val="00B120DE"/>
    <w:rsid w:val="00B13FE0"/>
    <w:rsid w:val="00B14C45"/>
    <w:rsid w:val="00B209E3"/>
    <w:rsid w:val="00B20B3B"/>
    <w:rsid w:val="00B2134D"/>
    <w:rsid w:val="00B21714"/>
    <w:rsid w:val="00B24001"/>
    <w:rsid w:val="00B242A0"/>
    <w:rsid w:val="00B24EF7"/>
    <w:rsid w:val="00B2574C"/>
    <w:rsid w:val="00B257D5"/>
    <w:rsid w:val="00B26C28"/>
    <w:rsid w:val="00B26EE5"/>
    <w:rsid w:val="00B278C2"/>
    <w:rsid w:val="00B27B5B"/>
    <w:rsid w:val="00B305D3"/>
    <w:rsid w:val="00B327C0"/>
    <w:rsid w:val="00B32A52"/>
    <w:rsid w:val="00B32C25"/>
    <w:rsid w:val="00B32CD4"/>
    <w:rsid w:val="00B32F23"/>
    <w:rsid w:val="00B3450B"/>
    <w:rsid w:val="00B345E4"/>
    <w:rsid w:val="00B34A51"/>
    <w:rsid w:val="00B34F14"/>
    <w:rsid w:val="00B359C5"/>
    <w:rsid w:val="00B3640D"/>
    <w:rsid w:val="00B37508"/>
    <w:rsid w:val="00B378BC"/>
    <w:rsid w:val="00B37C43"/>
    <w:rsid w:val="00B40659"/>
    <w:rsid w:val="00B407C9"/>
    <w:rsid w:val="00B407EC"/>
    <w:rsid w:val="00B41501"/>
    <w:rsid w:val="00B41D38"/>
    <w:rsid w:val="00B42D66"/>
    <w:rsid w:val="00B42EC1"/>
    <w:rsid w:val="00B43740"/>
    <w:rsid w:val="00B454AD"/>
    <w:rsid w:val="00B45F19"/>
    <w:rsid w:val="00B46572"/>
    <w:rsid w:val="00B47382"/>
    <w:rsid w:val="00B47841"/>
    <w:rsid w:val="00B50767"/>
    <w:rsid w:val="00B51A53"/>
    <w:rsid w:val="00B52E76"/>
    <w:rsid w:val="00B5478D"/>
    <w:rsid w:val="00B56F88"/>
    <w:rsid w:val="00B60D91"/>
    <w:rsid w:val="00B61596"/>
    <w:rsid w:val="00B619C6"/>
    <w:rsid w:val="00B62913"/>
    <w:rsid w:val="00B62AC8"/>
    <w:rsid w:val="00B6451C"/>
    <w:rsid w:val="00B64BC7"/>
    <w:rsid w:val="00B65A2D"/>
    <w:rsid w:val="00B65CDF"/>
    <w:rsid w:val="00B66490"/>
    <w:rsid w:val="00B670DA"/>
    <w:rsid w:val="00B70948"/>
    <w:rsid w:val="00B72076"/>
    <w:rsid w:val="00B7322A"/>
    <w:rsid w:val="00B740AC"/>
    <w:rsid w:val="00B745D4"/>
    <w:rsid w:val="00B745F5"/>
    <w:rsid w:val="00B75110"/>
    <w:rsid w:val="00B76362"/>
    <w:rsid w:val="00B76D6C"/>
    <w:rsid w:val="00B76EA0"/>
    <w:rsid w:val="00B76EB2"/>
    <w:rsid w:val="00B76ED6"/>
    <w:rsid w:val="00B80556"/>
    <w:rsid w:val="00B80956"/>
    <w:rsid w:val="00B80AFB"/>
    <w:rsid w:val="00B83C78"/>
    <w:rsid w:val="00B85E69"/>
    <w:rsid w:val="00B85EDE"/>
    <w:rsid w:val="00B86E14"/>
    <w:rsid w:val="00B875CD"/>
    <w:rsid w:val="00B87D00"/>
    <w:rsid w:val="00B90B00"/>
    <w:rsid w:val="00B90EB7"/>
    <w:rsid w:val="00B91283"/>
    <w:rsid w:val="00B91AFA"/>
    <w:rsid w:val="00B92A23"/>
    <w:rsid w:val="00B92A56"/>
    <w:rsid w:val="00B933FF"/>
    <w:rsid w:val="00B95608"/>
    <w:rsid w:val="00B956A1"/>
    <w:rsid w:val="00B96D26"/>
    <w:rsid w:val="00B97083"/>
    <w:rsid w:val="00B977C2"/>
    <w:rsid w:val="00BA005E"/>
    <w:rsid w:val="00BA0905"/>
    <w:rsid w:val="00BA2F0C"/>
    <w:rsid w:val="00BA5260"/>
    <w:rsid w:val="00BA56C1"/>
    <w:rsid w:val="00BA59A5"/>
    <w:rsid w:val="00BA69A4"/>
    <w:rsid w:val="00BA76C2"/>
    <w:rsid w:val="00BB0E29"/>
    <w:rsid w:val="00BB1C77"/>
    <w:rsid w:val="00BB2C1D"/>
    <w:rsid w:val="00BB44A6"/>
    <w:rsid w:val="00BB5148"/>
    <w:rsid w:val="00BB5FE0"/>
    <w:rsid w:val="00BB6BC3"/>
    <w:rsid w:val="00BC1715"/>
    <w:rsid w:val="00BC1843"/>
    <w:rsid w:val="00BC37DD"/>
    <w:rsid w:val="00BD0F5B"/>
    <w:rsid w:val="00BD1C3F"/>
    <w:rsid w:val="00BD2C3E"/>
    <w:rsid w:val="00BD350D"/>
    <w:rsid w:val="00BD35CB"/>
    <w:rsid w:val="00BD3F4C"/>
    <w:rsid w:val="00BD4AB6"/>
    <w:rsid w:val="00BD5023"/>
    <w:rsid w:val="00BD5996"/>
    <w:rsid w:val="00BD64AF"/>
    <w:rsid w:val="00BD7702"/>
    <w:rsid w:val="00BD781E"/>
    <w:rsid w:val="00BD7A86"/>
    <w:rsid w:val="00BD7B07"/>
    <w:rsid w:val="00BE119B"/>
    <w:rsid w:val="00BE12D4"/>
    <w:rsid w:val="00BE23AA"/>
    <w:rsid w:val="00BE2BDA"/>
    <w:rsid w:val="00BE3636"/>
    <w:rsid w:val="00BE37AC"/>
    <w:rsid w:val="00BE480E"/>
    <w:rsid w:val="00BE5053"/>
    <w:rsid w:val="00BE637C"/>
    <w:rsid w:val="00BE6F2C"/>
    <w:rsid w:val="00BE738F"/>
    <w:rsid w:val="00BF0648"/>
    <w:rsid w:val="00BF1FC0"/>
    <w:rsid w:val="00BF22E8"/>
    <w:rsid w:val="00BF284E"/>
    <w:rsid w:val="00BF2D1B"/>
    <w:rsid w:val="00BF43C1"/>
    <w:rsid w:val="00BF4C7A"/>
    <w:rsid w:val="00BF54DE"/>
    <w:rsid w:val="00BF5ED3"/>
    <w:rsid w:val="00BF7A74"/>
    <w:rsid w:val="00C005EC"/>
    <w:rsid w:val="00C00936"/>
    <w:rsid w:val="00C00F8C"/>
    <w:rsid w:val="00C03C13"/>
    <w:rsid w:val="00C03D3F"/>
    <w:rsid w:val="00C04C74"/>
    <w:rsid w:val="00C06C8F"/>
    <w:rsid w:val="00C07009"/>
    <w:rsid w:val="00C101F2"/>
    <w:rsid w:val="00C1088F"/>
    <w:rsid w:val="00C10F05"/>
    <w:rsid w:val="00C14984"/>
    <w:rsid w:val="00C15F45"/>
    <w:rsid w:val="00C16892"/>
    <w:rsid w:val="00C200C0"/>
    <w:rsid w:val="00C2289A"/>
    <w:rsid w:val="00C22B6F"/>
    <w:rsid w:val="00C22F76"/>
    <w:rsid w:val="00C257B1"/>
    <w:rsid w:val="00C2665E"/>
    <w:rsid w:val="00C27956"/>
    <w:rsid w:val="00C27F04"/>
    <w:rsid w:val="00C307A8"/>
    <w:rsid w:val="00C3126A"/>
    <w:rsid w:val="00C33FF9"/>
    <w:rsid w:val="00C34CB7"/>
    <w:rsid w:val="00C36D9A"/>
    <w:rsid w:val="00C36DA0"/>
    <w:rsid w:val="00C37A45"/>
    <w:rsid w:val="00C40291"/>
    <w:rsid w:val="00C42DAB"/>
    <w:rsid w:val="00C43CDB"/>
    <w:rsid w:val="00C43FC7"/>
    <w:rsid w:val="00C44001"/>
    <w:rsid w:val="00C45EE6"/>
    <w:rsid w:val="00C4788B"/>
    <w:rsid w:val="00C47ADF"/>
    <w:rsid w:val="00C504CD"/>
    <w:rsid w:val="00C50E97"/>
    <w:rsid w:val="00C52ABF"/>
    <w:rsid w:val="00C52E33"/>
    <w:rsid w:val="00C54A5D"/>
    <w:rsid w:val="00C558BC"/>
    <w:rsid w:val="00C56C9B"/>
    <w:rsid w:val="00C57025"/>
    <w:rsid w:val="00C6002D"/>
    <w:rsid w:val="00C609C6"/>
    <w:rsid w:val="00C62A0F"/>
    <w:rsid w:val="00C6318F"/>
    <w:rsid w:val="00C63E6D"/>
    <w:rsid w:val="00C64165"/>
    <w:rsid w:val="00C64228"/>
    <w:rsid w:val="00C6449A"/>
    <w:rsid w:val="00C6536A"/>
    <w:rsid w:val="00C65428"/>
    <w:rsid w:val="00C66757"/>
    <w:rsid w:val="00C66CC5"/>
    <w:rsid w:val="00C703A9"/>
    <w:rsid w:val="00C703CB"/>
    <w:rsid w:val="00C71EF1"/>
    <w:rsid w:val="00C72410"/>
    <w:rsid w:val="00C727DC"/>
    <w:rsid w:val="00C74451"/>
    <w:rsid w:val="00C75229"/>
    <w:rsid w:val="00C75806"/>
    <w:rsid w:val="00C77B0D"/>
    <w:rsid w:val="00C83977"/>
    <w:rsid w:val="00C848BD"/>
    <w:rsid w:val="00C84CEE"/>
    <w:rsid w:val="00C85418"/>
    <w:rsid w:val="00C87AD3"/>
    <w:rsid w:val="00C90D86"/>
    <w:rsid w:val="00C92BC8"/>
    <w:rsid w:val="00C9361D"/>
    <w:rsid w:val="00C93B7B"/>
    <w:rsid w:val="00C93BD2"/>
    <w:rsid w:val="00C94962"/>
    <w:rsid w:val="00C9516F"/>
    <w:rsid w:val="00C964E8"/>
    <w:rsid w:val="00C9650D"/>
    <w:rsid w:val="00C966E3"/>
    <w:rsid w:val="00C971F2"/>
    <w:rsid w:val="00CA2268"/>
    <w:rsid w:val="00CA2D85"/>
    <w:rsid w:val="00CA490D"/>
    <w:rsid w:val="00CA598E"/>
    <w:rsid w:val="00CA6E2F"/>
    <w:rsid w:val="00CA78E9"/>
    <w:rsid w:val="00CB3F5A"/>
    <w:rsid w:val="00CB41AB"/>
    <w:rsid w:val="00CB5DE3"/>
    <w:rsid w:val="00CB73C2"/>
    <w:rsid w:val="00CC0C53"/>
    <w:rsid w:val="00CC1CE4"/>
    <w:rsid w:val="00CC1DBC"/>
    <w:rsid w:val="00CC2FDF"/>
    <w:rsid w:val="00CC3216"/>
    <w:rsid w:val="00CC3E5A"/>
    <w:rsid w:val="00CC6110"/>
    <w:rsid w:val="00CC7C8E"/>
    <w:rsid w:val="00CC7E77"/>
    <w:rsid w:val="00CD0280"/>
    <w:rsid w:val="00CD0445"/>
    <w:rsid w:val="00CD19BB"/>
    <w:rsid w:val="00CD3484"/>
    <w:rsid w:val="00CD3578"/>
    <w:rsid w:val="00CD52E0"/>
    <w:rsid w:val="00CD57F0"/>
    <w:rsid w:val="00CD6729"/>
    <w:rsid w:val="00CE007B"/>
    <w:rsid w:val="00CE16B1"/>
    <w:rsid w:val="00CE2757"/>
    <w:rsid w:val="00CE354B"/>
    <w:rsid w:val="00CE3C9D"/>
    <w:rsid w:val="00CE4490"/>
    <w:rsid w:val="00CE44D9"/>
    <w:rsid w:val="00CE4923"/>
    <w:rsid w:val="00CE5D9B"/>
    <w:rsid w:val="00CE656C"/>
    <w:rsid w:val="00CE6F11"/>
    <w:rsid w:val="00CE772C"/>
    <w:rsid w:val="00CF0AD9"/>
    <w:rsid w:val="00CF2718"/>
    <w:rsid w:val="00CF4944"/>
    <w:rsid w:val="00CF5775"/>
    <w:rsid w:val="00CF5D60"/>
    <w:rsid w:val="00CF6131"/>
    <w:rsid w:val="00CF659F"/>
    <w:rsid w:val="00CF6797"/>
    <w:rsid w:val="00CF79E9"/>
    <w:rsid w:val="00D0073D"/>
    <w:rsid w:val="00D00EC1"/>
    <w:rsid w:val="00D01D7E"/>
    <w:rsid w:val="00D02E62"/>
    <w:rsid w:val="00D03462"/>
    <w:rsid w:val="00D038BE"/>
    <w:rsid w:val="00D06796"/>
    <w:rsid w:val="00D06EA8"/>
    <w:rsid w:val="00D07B1E"/>
    <w:rsid w:val="00D11334"/>
    <w:rsid w:val="00D11402"/>
    <w:rsid w:val="00D124CE"/>
    <w:rsid w:val="00D12FDC"/>
    <w:rsid w:val="00D1338A"/>
    <w:rsid w:val="00D143C8"/>
    <w:rsid w:val="00D14CC1"/>
    <w:rsid w:val="00D15397"/>
    <w:rsid w:val="00D15CC3"/>
    <w:rsid w:val="00D1728D"/>
    <w:rsid w:val="00D20803"/>
    <w:rsid w:val="00D21715"/>
    <w:rsid w:val="00D21E98"/>
    <w:rsid w:val="00D24FB7"/>
    <w:rsid w:val="00D25618"/>
    <w:rsid w:val="00D26B95"/>
    <w:rsid w:val="00D27343"/>
    <w:rsid w:val="00D27E58"/>
    <w:rsid w:val="00D30A21"/>
    <w:rsid w:val="00D3134E"/>
    <w:rsid w:val="00D31AA7"/>
    <w:rsid w:val="00D31B6E"/>
    <w:rsid w:val="00D337B9"/>
    <w:rsid w:val="00D3437D"/>
    <w:rsid w:val="00D35866"/>
    <w:rsid w:val="00D37336"/>
    <w:rsid w:val="00D40720"/>
    <w:rsid w:val="00D40A35"/>
    <w:rsid w:val="00D40A68"/>
    <w:rsid w:val="00D42F03"/>
    <w:rsid w:val="00D43B7E"/>
    <w:rsid w:val="00D44C4E"/>
    <w:rsid w:val="00D44DA8"/>
    <w:rsid w:val="00D45A0E"/>
    <w:rsid w:val="00D45F3E"/>
    <w:rsid w:val="00D465F7"/>
    <w:rsid w:val="00D471ED"/>
    <w:rsid w:val="00D4766B"/>
    <w:rsid w:val="00D50204"/>
    <w:rsid w:val="00D50EDB"/>
    <w:rsid w:val="00D51D84"/>
    <w:rsid w:val="00D51F49"/>
    <w:rsid w:val="00D531F7"/>
    <w:rsid w:val="00D535E4"/>
    <w:rsid w:val="00D53797"/>
    <w:rsid w:val="00D54B36"/>
    <w:rsid w:val="00D55B27"/>
    <w:rsid w:val="00D5606E"/>
    <w:rsid w:val="00D56378"/>
    <w:rsid w:val="00D566C5"/>
    <w:rsid w:val="00D610A2"/>
    <w:rsid w:val="00D61138"/>
    <w:rsid w:val="00D6183B"/>
    <w:rsid w:val="00D61E6B"/>
    <w:rsid w:val="00D61EDB"/>
    <w:rsid w:val="00D61F82"/>
    <w:rsid w:val="00D63236"/>
    <w:rsid w:val="00D64B6A"/>
    <w:rsid w:val="00D64F58"/>
    <w:rsid w:val="00D66E23"/>
    <w:rsid w:val="00D66E5C"/>
    <w:rsid w:val="00D6722D"/>
    <w:rsid w:val="00D67A0A"/>
    <w:rsid w:val="00D70829"/>
    <w:rsid w:val="00D72356"/>
    <w:rsid w:val="00D74B97"/>
    <w:rsid w:val="00D75085"/>
    <w:rsid w:val="00D75A00"/>
    <w:rsid w:val="00D762EB"/>
    <w:rsid w:val="00D76598"/>
    <w:rsid w:val="00D76DFE"/>
    <w:rsid w:val="00D77A51"/>
    <w:rsid w:val="00D77CE5"/>
    <w:rsid w:val="00D803B1"/>
    <w:rsid w:val="00D80987"/>
    <w:rsid w:val="00D80A77"/>
    <w:rsid w:val="00D8162A"/>
    <w:rsid w:val="00D81CDD"/>
    <w:rsid w:val="00D820F8"/>
    <w:rsid w:val="00D828A6"/>
    <w:rsid w:val="00D8341E"/>
    <w:rsid w:val="00D845C4"/>
    <w:rsid w:val="00D85EA2"/>
    <w:rsid w:val="00D8744D"/>
    <w:rsid w:val="00D87A82"/>
    <w:rsid w:val="00D90C8F"/>
    <w:rsid w:val="00D9363F"/>
    <w:rsid w:val="00D937CF"/>
    <w:rsid w:val="00D93B07"/>
    <w:rsid w:val="00D942A2"/>
    <w:rsid w:val="00D94907"/>
    <w:rsid w:val="00D95C51"/>
    <w:rsid w:val="00D96319"/>
    <w:rsid w:val="00D9644C"/>
    <w:rsid w:val="00D9746D"/>
    <w:rsid w:val="00D97F17"/>
    <w:rsid w:val="00DA00B9"/>
    <w:rsid w:val="00DA077C"/>
    <w:rsid w:val="00DA1366"/>
    <w:rsid w:val="00DA14A8"/>
    <w:rsid w:val="00DA2774"/>
    <w:rsid w:val="00DA27A9"/>
    <w:rsid w:val="00DA2842"/>
    <w:rsid w:val="00DA301C"/>
    <w:rsid w:val="00DA3D9F"/>
    <w:rsid w:val="00DA40C9"/>
    <w:rsid w:val="00DA4E80"/>
    <w:rsid w:val="00DA63F1"/>
    <w:rsid w:val="00DA7083"/>
    <w:rsid w:val="00DA7A84"/>
    <w:rsid w:val="00DB0653"/>
    <w:rsid w:val="00DB0BD9"/>
    <w:rsid w:val="00DB1C6C"/>
    <w:rsid w:val="00DB521C"/>
    <w:rsid w:val="00DB64C4"/>
    <w:rsid w:val="00DB68C5"/>
    <w:rsid w:val="00DB71BF"/>
    <w:rsid w:val="00DC1B68"/>
    <w:rsid w:val="00DC3771"/>
    <w:rsid w:val="00DC43A0"/>
    <w:rsid w:val="00DC48BD"/>
    <w:rsid w:val="00DC48CF"/>
    <w:rsid w:val="00DC4963"/>
    <w:rsid w:val="00DC6FA0"/>
    <w:rsid w:val="00DC7FDC"/>
    <w:rsid w:val="00DD045F"/>
    <w:rsid w:val="00DD05A6"/>
    <w:rsid w:val="00DD0B35"/>
    <w:rsid w:val="00DD13C7"/>
    <w:rsid w:val="00DD5C4D"/>
    <w:rsid w:val="00DD5E19"/>
    <w:rsid w:val="00DE0E31"/>
    <w:rsid w:val="00DE21A4"/>
    <w:rsid w:val="00DE2284"/>
    <w:rsid w:val="00DE2C10"/>
    <w:rsid w:val="00DE4875"/>
    <w:rsid w:val="00DE5057"/>
    <w:rsid w:val="00DE5703"/>
    <w:rsid w:val="00DE5CB0"/>
    <w:rsid w:val="00DE608C"/>
    <w:rsid w:val="00DE6DF8"/>
    <w:rsid w:val="00DE71B4"/>
    <w:rsid w:val="00DE74A4"/>
    <w:rsid w:val="00DF08B8"/>
    <w:rsid w:val="00DF0959"/>
    <w:rsid w:val="00DF0CB2"/>
    <w:rsid w:val="00DF1E85"/>
    <w:rsid w:val="00DF25D3"/>
    <w:rsid w:val="00DF311B"/>
    <w:rsid w:val="00DF351B"/>
    <w:rsid w:val="00DF3A57"/>
    <w:rsid w:val="00DF3F9E"/>
    <w:rsid w:val="00DF45E8"/>
    <w:rsid w:val="00DF48A3"/>
    <w:rsid w:val="00DF607B"/>
    <w:rsid w:val="00DF7E61"/>
    <w:rsid w:val="00DF7F99"/>
    <w:rsid w:val="00E03045"/>
    <w:rsid w:val="00E04B7C"/>
    <w:rsid w:val="00E064E5"/>
    <w:rsid w:val="00E07063"/>
    <w:rsid w:val="00E122E6"/>
    <w:rsid w:val="00E14616"/>
    <w:rsid w:val="00E1526A"/>
    <w:rsid w:val="00E212A5"/>
    <w:rsid w:val="00E22843"/>
    <w:rsid w:val="00E23426"/>
    <w:rsid w:val="00E24BAB"/>
    <w:rsid w:val="00E258EA"/>
    <w:rsid w:val="00E25ED5"/>
    <w:rsid w:val="00E263B9"/>
    <w:rsid w:val="00E26B5F"/>
    <w:rsid w:val="00E30308"/>
    <w:rsid w:val="00E30C1B"/>
    <w:rsid w:val="00E30F45"/>
    <w:rsid w:val="00E30FDF"/>
    <w:rsid w:val="00E3164B"/>
    <w:rsid w:val="00E329A5"/>
    <w:rsid w:val="00E32E42"/>
    <w:rsid w:val="00E342C3"/>
    <w:rsid w:val="00E356CD"/>
    <w:rsid w:val="00E3783A"/>
    <w:rsid w:val="00E378AA"/>
    <w:rsid w:val="00E40AD5"/>
    <w:rsid w:val="00E425CF"/>
    <w:rsid w:val="00E4437B"/>
    <w:rsid w:val="00E44B1C"/>
    <w:rsid w:val="00E47125"/>
    <w:rsid w:val="00E471E5"/>
    <w:rsid w:val="00E47852"/>
    <w:rsid w:val="00E47E74"/>
    <w:rsid w:val="00E50505"/>
    <w:rsid w:val="00E51421"/>
    <w:rsid w:val="00E52F78"/>
    <w:rsid w:val="00E538D9"/>
    <w:rsid w:val="00E53B3B"/>
    <w:rsid w:val="00E54142"/>
    <w:rsid w:val="00E54B76"/>
    <w:rsid w:val="00E55CEE"/>
    <w:rsid w:val="00E57104"/>
    <w:rsid w:val="00E573E7"/>
    <w:rsid w:val="00E57E96"/>
    <w:rsid w:val="00E61A93"/>
    <w:rsid w:val="00E61DF1"/>
    <w:rsid w:val="00E61F8B"/>
    <w:rsid w:val="00E64D64"/>
    <w:rsid w:val="00E650DB"/>
    <w:rsid w:val="00E65745"/>
    <w:rsid w:val="00E65802"/>
    <w:rsid w:val="00E667DF"/>
    <w:rsid w:val="00E6753C"/>
    <w:rsid w:val="00E70EF8"/>
    <w:rsid w:val="00E718F0"/>
    <w:rsid w:val="00E71BA6"/>
    <w:rsid w:val="00E758CB"/>
    <w:rsid w:val="00E75DFC"/>
    <w:rsid w:val="00E75E30"/>
    <w:rsid w:val="00E75E3D"/>
    <w:rsid w:val="00E76A1D"/>
    <w:rsid w:val="00E76BC6"/>
    <w:rsid w:val="00E7789E"/>
    <w:rsid w:val="00E81DF4"/>
    <w:rsid w:val="00E82A00"/>
    <w:rsid w:val="00E82E41"/>
    <w:rsid w:val="00E83E53"/>
    <w:rsid w:val="00E83EB0"/>
    <w:rsid w:val="00E84181"/>
    <w:rsid w:val="00E8477A"/>
    <w:rsid w:val="00E84AD5"/>
    <w:rsid w:val="00E8647E"/>
    <w:rsid w:val="00E866D3"/>
    <w:rsid w:val="00E9058B"/>
    <w:rsid w:val="00E91374"/>
    <w:rsid w:val="00E920CB"/>
    <w:rsid w:val="00E9347A"/>
    <w:rsid w:val="00E9452F"/>
    <w:rsid w:val="00E9596C"/>
    <w:rsid w:val="00E95A9C"/>
    <w:rsid w:val="00E97482"/>
    <w:rsid w:val="00E97977"/>
    <w:rsid w:val="00EA022E"/>
    <w:rsid w:val="00EA1DD1"/>
    <w:rsid w:val="00EA25B6"/>
    <w:rsid w:val="00EA26A0"/>
    <w:rsid w:val="00EA297B"/>
    <w:rsid w:val="00EA2BCB"/>
    <w:rsid w:val="00EA3606"/>
    <w:rsid w:val="00EA4D8D"/>
    <w:rsid w:val="00EA542C"/>
    <w:rsid w:val="00EA5583"/>
    <w:rsid w:val="00EA5A4C"/>
    <w:rsid w:val="00EA5D0C"/>
    <w:rsid w:val="00EA6275"/>
    <w:rsid w:val="00EA7E8F"/>
    <w:rsid w:val="00EB0C7B"/>
    <w:rsid w:val="00EB1EAF"/>
    <w:rsid w:val="00EB216B"/>
    <w:rsid w:val="00EB45DC"/>
    <w:rsid w:val="00EB5107"/>
    <w:rsid w:val="00EB5C0D"/>
    <w:rsid w:val="00EB6A50"/>
    <w:rsid w:val="00EB6E66"/>
    <w:rsid w:val="00EB7ACF"/>
    <w:rsid w:val="00EB7CA4"/>
    <w:rsid w:val="00EC0138"/>
    <w:rsid w:val="00EC08F8"/>
    <w:rsid w:val="00EC1ACD"/>
    <w:rsid w:val="00EC213F"/>
    <w:rsid w:val="00EC2324"/>
    <w:rsid w:val="00EC26FE"/>
    <w:rsid w:val="00EC3E04"/>
    <w:rsid w:val="00EC4F7B"/>
    <w:rsid w:val="00EC530B"/>
    <w:rsid w:val="00EC6F04"/>
    <w:rsid w:val="00EC7449"/>
    <w:rsid w:val="00ED0127"/>
    <w:rsid w:val="00ED0571"/>
    <w:rsid w:val="00ED09FC"/>
    <w:rsid w:val="00ED264F"/>
    <w:rsid w:val="00ED3109"/>
    <w:rsid w:val="00ED3552"/>
    <w:rsid w:val="00ED37BA"/>
    <w:rsid w:val="00ED3B5D"/>
    <w:rsid w:val="00ED55AD"/>
    <w:rsid w:val="00ED606C"/>
    <w:rsid w:val="00ED62B4"/>
    <w:rsid w:val="00ED7597"/>
    <w:rsid w:val="00EE09E3"/>
    <w:rsid w:val="00EE0EE7"/>
    <w:rsid w:val="00EE1005"/>
    <w:rsid w:val="00EE1B18"/>
    <w:rsid w:val="00EE2ECD"/>
    <w:rsid w:val="00EE366F"/>
    <w:rsid w:val="00EE3ABB"/>
    <w:rsid w:val="00EE4530"/>
    <w:rsid w:val="00EE4D67"/>
    <w:rsid w:val="00EE7FCC"/>
    <w:rsid w:val="00EF1AB4"/>
    <w:rsid w:val="00EF207E"/>
    <w:rsid w:val="00EF244D"/>
    <w:rsid w:val="00EF2A11"/>
    <w:rsid w:val="00EF3870"/>
    <w:rsid w:val="00EF445E"/>
    <w:rsid w:val="00EF4829"/>
    <w:rsid w:val="00EF5265"/>
    <w:rsid w:val="00EF56E6"/>
    <w:rsid w:val="00EF5E3F"/>
    <w:rsid w:val="00EF6207"/>
    <w:rsid w:val="00F015A6"/>
    <w:rsid w:val="00F0196F"/>
    <w:rsid w:val="00F03059"/>
    <w:rsid w:val="00F0334D"/>
    <w:rsid w:val="00F0470D"/>
    <w:rsid w:val="00F0495B"/>
    <w:rsid w:val="00F1152D"/>
    <w:rsid w:val="00F12000"/>
    <w:rsid w:val="00F12587"/>
    <w:rsid w:val="00F14285"/>
    <w:rsid w:val="00F14C9C"/>
    <w:rsid w:val="00F15654"/>
    <w:rsid w:val="00F20E18"/>
    <w:rsid w:val="00F211BC"/>
    <w:rsid w:val="00F211D9"/>
    <w:rsid w:val="00F213AD"/>
    <w:rsid w:val="00F2144A"/>
    <w:rsid w:val="00F219E3"/>
    <w:rsid w:val="00F21DED"/>
    <w:rsid w:val="00F23342"/>
    <w:rsid w:val="00F23DDA"/>
    <w:rsid w:val="00F24339"/>
    <w:rsid w:val="00F2516C"/>
    <w:rsid w:val="00F258EA"/>
    <w:rsid w:val="00F25F37"/>
    <w:rsid w:val="00F26AC8"/>
    <w:rsid w:val="00F26C26"/>
    <w:rsid w:val="00F26E48"/>
    <w:rsid w:val="00F2723B"/>
    <w:rsid w:val="00F27822"/>
    <w:rsid w:val="00F30BC6"/>
    <w:rsid w:val="00F30CB6"/>
    <w:rsid w:val="00F31B80"/>
    <w:rsid w:val="00F3232A"/>
    <w:rsid w:val="00F3483B"/>
    <w:rsid w:val="00F36D5B"/>
    <w:rsid w:val="00F407EB"/>
    <w:rsid w:val="00F40D92"/>
    <w:rsid w:val="00F43BD4"/>
    <w:rsid w:val="00F443C8"/>
    <w:rsid w:val="00F50506"/>
    <w:rsid w:val="00F50C46"/>
    <w:rsid w:val="00F51B1C"/>
    <w:rsid w:val="00F53B9B"/>
    <w:rsid w:val="00F542A5"/>
    <w:rsid w:val="00F54365"/>
    <w:rsid w:val="00F54485"/>
    <w:rsid w:val="00F54BF2"/>
    <w:rsid w:val="00F57001"/>
    <w:rsid w:val="00F57CEA"/>
    <w:rsid w:val="00F6014D"/>
    <w:rsid w:val="00F618F4"/>
    <w:rsid w:val="00F61E16"/>
    <w:rsid w:val="00F62177"/>
    <w:rsid w:val="00F6286E"/>
    <w:rsid w:val="00F62ADB"/>
    <w:rsid w:val="00F636DA"/>
    <w:rsid w:val="00F649A8"/>
    <w:rsid w:val="00F64C5C"/>
    <w:rsid w:val="00F64F65"/>
    <w:rsid w:val="00F65F83"/>
    <w:rsid w:val="00F65FAF"/>
    <w:rsid w:val="00F666A0"/>
    <w:rsid w:val="00F66DA6"/>
    <w:rsid w:val="00F6736C"/>
    <w:rsid w:val="00F7068D"/>
    <w:rsid w:val="00F707F1"/>
    <w:rsid w:val="00F71018"/>
    <w:rsid w:val="00F73158"/>
    <w:rsid w:val="00F737EB"/>
    <w:rsid w:val="00F76CEE"/>
    <w:rsid w:val="00F77ABE"/>
    <w:rsid w:val="00F81153"/>
    <w:rsid w:val="00F8236B"/>
    <w:rsid w:val="00F83551"/>
    <w:rsid w:val="00F841D3"/>
    <w:rsid w:val="00F852B1"/>
    <w:rsid w:val="00F856DB"/>
    <w:rsid w:val="00F85A23"/>
    <w:rsid w:val="00F85DB1"/>
    <w:rsid w:val="00F86E13"/>
    <w:rsid w:val="00F87689"/>
    <w:rsid w:val="00F9068B"/>
    <w:rsid w:val="00F929EE"/>
    <w:rsid w:val="00F92C44"/>
    <w:rsid w:val="00F935FB"/>
    <w:rsid w:val="00F94316"/>
    <w:rsid w:val="00F95DED"/>
    <w:rsid w:val="00F96874"/>
    <w:rsid w:val="00FA2C54"/>
    <w:rsid w:val="00FB0876"/>
    <w:rsid w:val="00FB103B"/>
    <w:rsid w:val="00FB2FF3"/>
    <w:rsid w:val="00FB3B85"/>
    <w:rsid w:val="00FB4412"/>
    <w:rsid w:val="00FB4956"/>
    <w:rsid w:val="00FB4A97"/>
    <w:rsid w:val="00FB59CF"/>
    <w:rsid w:val="00FB5DE4"/>
    <w:rsid w:val="00FB6E57"/>
    <w:rsid w:val="00FB756C"/>
    <w:rsid w:val="00FC231B"/>
    <w:rsid w:val="00FC2E4D"/>
    <w:rsid w:val="00FC3000"/>
    <w:rsid w:val="00FC4A6A"/>
    <w:rsid w:val="00FC6224"/>
    <w:rsid w:val="00FC6971"/>
    <w:rsid w:val="00FC7C85"/>
    <w:rsid w:val="00FD0CF4"/>
    <w:rsid w:val="00FD0E02"/>
    <w:rsid w:val="00FD10F4"/>
    <w:rsid w:val="00FD16B1"/>
    <w:rsid w:val="00FD2BE2"/>
    <w:rsid w:val="00FD3AAE"/>
    <w:rsid w:val="00FD4167"/>
    <w:rsid w:val="00FD44E0"/>
    <w:rsid w:val="00FD47F3"/>
    <w:rsid w:val="00FD4850"/>
    <w:rsid w:val="00FD6075"/>
    <w:rsid w:val="00FD798D"/>
    <w:rsid w:val="00FE0A77"/>
    <w:rsid w:val="00FE15ED"/>
    <w:rsid w:val="00FE1F40"/>
    <w:rsid w:val="00FE1FC6"/>
    <w:rsid w:val="00FE2296"/>
    <w:rsid w:val="00FE3A89"/>
    <w:rsid w:val="00FE44B6"/>
    <w:rsid w:val="00FE4F2A"/>
    <w:rsid w:val="00FE5A9C"/>
    <w:rsid w:val="00FE77FF"/>
    <w:rsid w:val="00FE7A37"/>
    <w:rsid w:val="00FE7D30"/>
    <w:rsid w:val="00FE7D75"/>
    <w:rsid w:val="00FF29C6"/>
    <w:rsid w:val="00FF2AE0"/>
    <w:rsid w:val="00FF3212"/>
    <w:rsid w:val="00FF36E8"/>
    <w:rsid w:val="00FF40BD"/>
    <w:rsid w:val="00FF4B7C"/>
    <w:rsid w:val="00FF4E43"/>
    <w:rsid w:val="00FF4FC4"/>
    <w:rsid w:val="00FF5C5D"/>
    <w:rsid w:val="00FF7A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B70"/>
    <w:pPr>
      <w:suppressAutoHyphens/>
    </w:pPr>
    <w:rPr>
      <w:rFonts w:eastAsia="Times New Roman"/>
      <w:sz w:val="24"/>
      <w:szCs w:val="24"/>
      <w:lang w:eastAsia="ar-SA"/>
    </w:rPr>
  </w:style>
  <w:style w:type="paragraph" w:styleId="Heading3">
    <w:name w:val="heading 3"/>
    <w:basedOn w:val="Normal"/>
    <w:next w:val="Normal"/>
    <w:link w:val="Heading3Char"/>
    <w:qFormat/>
    <w:rsid w:val="00244B7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44B70"/>
    <w:rPr>
      <w:rFonts w:ascii="Arial" w:eastAsia="Times New Roman" w:hAnsi="Arial" w:cs="Arial"/>
      <w:b/>
      <w:bCs/>
      <w:sz w:val="26"/>
      <w:szCs w:val="26"/>
      <w:lang w:eastAsia="ar-SA"/>
    </w:rPr>
  </w:style>
  <w:style w:type="character" w:customStyle="1" w:styleId="FootnoteCharacters">
    <w:name w:val="Footnote Characters"/>
    <w:rsid w:val="00244B70"/>
    <w:rPr>
      <w:vertAlign w:val="superscript"/>
    </w:rPr>
  </w:style>
  <w:style w:type="character" w:styleId="Hyperlink">
    <w:name w:val="Hyperlink"/>
    <w:rsid w:val="00244B70"/>
    <w:rPr>
      <w:color w:val="0000FF"/>
      <w:u w:val="single"/>
    </w:rPr>
  </w:style>
  <w:style w:type="character" w:styleId="PageNumber">
    <w:name w:val="page number"/>
    <w:basedOn w:val="DefaultParagraphFont"/>
    <w:rsid w:val="00244B70"/>
  </w:style>
  <w:style w:type="character" w:customStyle="1" w:styleId="A1">
    <w:name w:val="A1"/>
    <w:rsid w:val="00244B70"/>
    <w:rPr>
      <w:color w:val="000000"/>
      <w:sz w:val="28"/>
      <w:szCs w:val="28"/>
    </w:rPr>
  </w:style>
  <w:style w:type="character" w:customStyle="1" w:styleId="highlight">
    <w:name w:val="highlight"/>
    <w:basedOn w:val="DefaultParagraphFont"/>
    <w:rsid w:val="00244B70"/>
  </w:style>
  <w:style w:type="character" w:styleId="FootnoteReference">
    <w:name w:val="footnote reference"/>
    <w:semiHidden/>
    <w:rsid w:val="00244B70"/>
    <w:rPr>
      <w:vertAlign w:val="superscript"/>
    </w:rPr>
  </w:style>
  <w:style w:type="paragraph" w:styleId="Caption">
    <w:name w:val="caption"/>
    <w:basedOn w:val="Normal"/>
    <w:next w:val="Normal"/>
    <w:qFormat/>
    <w:rsid w:val="00244B70"/>
    <w:rPr>
      <w:b/>
      <w:bCs/>
      <w:sz w:val="20"/>
      <w:szCs w:val="20"/>
    </w:rPr>
  </w:style>
  <w:style w:type="paragraph" w:styleId="FootnoteText">
    <w:name w:val="footnote text"/>
    <w:basedOn w:val="Normal"/>
    <w:link w:val="FootnoteTextChar"/>
    <w:semiHidden/>
    <w:rsid w:val="00244B70"/>
    <w:rPr>
      <w:sz w:val="20"/>
      <w:szCs w:val="20"/>
    </w:rPr>
  </w:style>
  <w:style w:type="character" w:customStyle="1" w:styleId="FootnoteTextChar">
    <w:name w:val="Footnote Text Char"/>
    <w:basedOn w:val="DefaultParagraphFont"/>
    <w:link w:val="FootnoteText"/>
    <w:semiHidden/>
    <w:rsid w:val="00244B70"/>
    <w:rPr>
      <w:rFonts w:eastAsia="Times New Roman" w:cs="Times New Roman"/>
      <w:sz w:val="20"/>
      <w:szCs w:val="20"/>
      <w:lang w:eastAsia="ar-SA"/>
    </w:rPr>
  </w:style>
  <w:style w:type="paragraph" w:styleId="Header">
    <w:name w:val="header"/>
    <w:basedOn w:val="Normal"/>
    <w:link w:val="HeaderChar"/>
    <w:uiPriority w:val="99"/>
    <w:rsid w:val="00244B70"/>
    <w:pPr>
      <w:tabs>
        <w:tab w:val="center" w:pos="4320"/>
        <w:tab w:val="right" w:pos="8640"/>
      </w:tabs>
    </w:pPr>
  </w:style>
  <w:style w:type="character" w:customStyle="1" w:styleId="HeaderChar">
    <w:name w:val="Header Char"/>
    <w:basedOn w:val="DefaultParagraphFont"/>
    <w:link w:val="Header"/>
    <w:uiPriority w:val="99"/>
    <w:rsid w:val="00244B70"/>
    <w:rPr>
      <w:rFonts w:eastAsia="Times New Roman" w:cs="Times New Roman"/>
      <w:szCs w:val="24"/>
      <w:lang w:eastAsia="ar-SA"/>
    </w:rPr>
  </w:style>
  <w:style w:type="paragraph" w:styleId="Footer">
    <w:name w:val="footer"/>
    <w:basedOn w:val="Normal"/>
    <w:link w:val="FooterChar"/>
    <w:rsid w:val="00244B70"/>
    <w:pPr>
      <w:tabs>
        <w:tab w:val="center" w:pos="4320"/>
        <w:tab w:val="right" w:pos="8640"/>
      </w:tabs>
    </w:pPr>
  </w:style>
  <w:style w:type="character" w:customStyle="1" w:styleId="FooterChar">
    <w:name w:val="Footer Char"/>
    <w:basedOn w:val="DefaultParagraphFont"/>
    <w:link w:val="Footer"/>
    <w:rsid w:val="00244B70"/>
    <w:rPr>
      <w:rFonts w:eastAsia="Times New Roman" w:cs="Times New Roman"/>
      <w:szCs w:val="24"/>
      <w:lang w:eastAsia="ar-SA"/>
    </w:rPr>
  </w:style>
  <w:style w:type="paragraph" w:styleId="TOC1">
    <w:name w:val="toc 1"/>
    <w:basedOn w:val="Normal"/>
    <w:next w:val="Normal"/>
    <w:semiHidden/>
    <w:rsid w:val="00244B70"/>
  </w:style>
  <w:style w:type="paragraph" w:styleId="BalloonText">
    <w:name w:val="Balloon Text"/>
    <w:basedOn w:val="Normal"/>
    <w:link w:val="BalloonTextChar"/>
    <w:semiHidden/>
    <w:rsid w:val="00244B70"/>
    <w:rPr>
      <w:rFonts w:ascii="Lucida Grande" w:hAnsi="Lucida Grande"/>
      <w:sz w:val="18"/>
      <w:szCs w:val="18"/>
    </w:rPr>
  </w:style>
  <w:style w:type="character" w:customStyle="1" w:styleId="BalloonTextChar">
    <w:name w:val="Balloon Text Char"/>
    <w:basedOn w:val="DefaultParagraphFont"/>
    <w:link w:val="BalloonText"/>
    <w:semiHidden/>
    <w:rsid w:val="00244B70"/>
    <w:rPr>
      <w:rFonts w:ascii="Lucida Grande" w:eastAsia="Times New Roman" w:hAnsi="Lucida Grande" w:cs="Times New Roman"/>
      <w:sz w:val="18"/>
      <w:szCs w:val="18"/>
      <w:lang w:eastAsia="ar-SA"/>
    </w:rPr>
  </w:style>
  <w:style w:type="character" w:styleId="CommentReference">
    <w:name w:val="annotation reference"/>
    <w:semiHidden/>
    <w:rsid w:val="00244B70"/>
    <w:rPr>
      <w:sz w:val="18"/>
    </w:rPr>
  </w:style>
  <w:style w:type="character" w:customStyle="1" w:styleId="CommentTextChar">
    <w:name w:val="Comment Text Char"/>
    <w:basedOn w:val="DefaultParagraphFont"/>
    <w:link w:val="CommentText"/>
    <w:semiHidden/>
    <w:rsid w:val="00244B70"/>
    <w:rPr>
      <w:rFonts w:eastAsia="Times New Roman" w:cs="Times New Roman"/>
      <w:szCs w:val="24"/>
      <w:lang w:eastAsia="ar-SA"/>
    </w:rPr>
  </w:style>
  <w:style w:type="paragraph" w:styleId="CommentText">
    <w:name w:val="annotation text"/>
    <w:basedOn w:val="Normal"/>
    <w:link w:val="CommentTextChar"/>
    <w:semiHidden/>
    <w:rsid w:val="00244B70"/>
  </w:style>
  <w:style w:type="character" w:customStyle="1" w:styleId="CommentSubjectChar">
    <w:name w:val="Comment Subject Char"/>
    <w:basedOn w:val="CommentTextChar"/>
    <w:link w:val="CommentSubject"/>
    <w:semiHidden/>
    <w:rsid w:val="00244B70"/>
    <w:rPr>
      <w:rFonts w:eastAsia="Times New Roman" w:cs="Times New Roman"/>
      <w:szCs w:val="24"/>
      <w:lang w:eastAsia="ar-SA"/>
    </w:rPr>
  </w:style>
  <w:style w:type="paragraph" w:styleId="CommentSubject">
    <w:name w:val="annotation subject"/>
    <w:basedOn w:val="CommentText"/>
    <w:next w:val="CommentText"/>
    <w:link w:val="CommentSubjectChar"/>
    <w:semiHidden/>
    <w:rsid w:val="00244B70"/>
  </w:style>
  <w:style w:type="table" w:styleId="TableGrid">
    <w:name w:val="Table Grid"/>
    <w:basedOn w:val="TableNormal"/>
    <w:rsid w:val="001B61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a"/>
    <w:basedOn w:val="DefaultParagraphFont"/>
    <w:rsid w:val="00DD0B35"/>
  </w:style>
  <w:style w:type="paragraph" w:styleId="BodyText2">
    <w:name w:val="Body Text 2"/>
    <w:basedOn w:val="Normal"/>
    <w:rsid w:val="00537FE4"/>
    <w:pPr>
      <w:suppressAutoHyphens w:val="0"/>
    </w:pPr>
    <w:rPr>
      <w:rFonts w:eastAsia="Times"/>
      <w:color w:val="0000FF"/>
      <w:szCs w:val="20"/>
      <w:lang w:eastAsia="en-US"/>
    </w:rPr>
  </w:style>
  <w:style w:type="character" w:styleId="Strong">
    <w:name w:val="Strong"/>
    <w:basedOn w:val="DefaultParagraphFont"/>
    <w:qFormat/>
    <w:rsid w:val="007439E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B70"/>
    <w:pPr>
      <w:suppressAutoHyphens/>
    </w:pPr>
    <w:rPr>
      <w:rFonts w:eastAsia="Times New Roman"/>
      <w:sz w:val="24"/>
      <w:szCs w:val="24"/>
      <w:lang w:eastAsia="ar-SA"/>
    </w:rPr>
  </w:style>
  <w:style w:type="paragraph" w:styleId="Heading3">
    <w:name w:val="heading 3"/>
    <w:basedOn w:val="Normal"/>
    <w:next w:val="Normal"/>
    <w:link w:val="Heading3Char"/>
    <w:qFormat/>
    <w:rsid w:val="00244B7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44B70"/>
    <w:rPr>
      <w:rFonts w:ascii="Arial" w:eastAsia="Times New Roman" w:hAnsi="Arial" w:cs="Arial"/>
      <w:b/>
      <w:bCs/>
      <w:sz w:val="26"/>
      <w:szCs w:val="26"/>
      <w:lang w:eastAsia="ar-SA"/>
    </w:rPr>
  </w:style>
  <w:style w:type="character" w:customStyle="1" w:styleId="FootnoteCharacters">
    <w:name w:val="Footnote Characters"/>
    <w:rsid w:val="00244B70"/>
    <w:rPr>
      <w:vertAlign w:val="superscript"/>
    </w:rPr>
  </w:style>
  <w:style w:type="character" w:styleId="Hyperlink">
    <w:name w:val="Hyperlink"/>
    <w:rsid w:val="00244B70"/>
    <w:rPr>
      <w:color w:val="0000FF"/>
      <w:u w:val="single"/>
    </w:rPr>
  </w:style>
  <w:style w:type="character" w:styleId="PageNumber">
    <w:name w:val="page number"/>
    <w:basedOn w:val="DefaultParagraphFont"/>
    <w:rsid w:val="00244B70"/>
  </w:style>
  <w:style w:type="character" w:customStyle="1" w:styleId="A1">
    <w:name w:val="A1"/>
    <w:rsid w:val="00244B70"/>
    <w:rPr>
      <w:color w:val="000000"/>
      <w:sz w:val="28"/>
      <w:szCs w:val="28"/>
    </w:rPr>
  </w:style>
  <w:style w:type="character" w:customStyle="1" w:styleId="highlight">
    <w:name w:val="highlight"/>
    <w:basedOn w:val="DefaultParagraphFont"/>
    <w:rsid w:val="00244B70"/>
  </w:style>
  <w:style w:type="character" w:styleId="FootnoteReference">
    <w:name w:val="footnote reference"/>
    <w:semiHidden/>
    <w:rsid w:val="00244B70"/>
    <w:rPr>
      <w:vertAlign w:val="superscript"/>
    </w:rPr>
  </w:style>
  <w:style w:type="paragraph" w:styleId="Caption">
    <w:name w:val="caption"/>
    <w:basedOn w:val="Normal"/>
    <w:next w:val="Normal"/>
    <w:qFormat/>
    <w:rsid w:val="00244B70"/>
    <w:rPr>
      <w:b/>
      <w:bCs/>
      <w:sz w:val="20"/>
      <w:szCs w:val="20"/>
    </w:rPr>
  </w:style>
  <w:style w:type="paragraph" w:styleId="FootnoteText">
    <w:name w:val="footnote text"/>
    <w:basedOn w:val="Normal"/>
    <w:link w:val="FootnoteTextChar"/>
    <w:semiHidden/>
    <w:rsid w:val="00244B70"/>
    <w:rPr>
      <w:sz w:val="20"/>
      <w:szCs w:val="20"/>
    </w:rPr>
  </w:style>
  <w:style w:type="character" w:customStyle="1" w:styleId="FootnoteTextChar">
    <w:name w:val="Footnote Text Char"/>
    <w:basedOn w:val="DefaultParagraphFont"/>
    <w:link w:val="FootnoteText"/>
    <w:semiHidden/>
    <w:rsid w:val="00244B70"/>
    <w:rPr>
      <w:rFonts w:eastAsia="Times New Roman" w:cs="Times New Roman"/>
      <w:sz w:val="20"/>
      <w:szCs w:val="20"/>
      <w:lang w:eastAsia="ar-SA"/>
    </w:rPr>
  </w:style>
  <w:style w:type="paragraph" w:styleId="Header">
    <w:name w:val="header"/>
    <w:basedOn w:val="Normal"/>
    <w:link w:val="HeaderChar"/>
    <w:uiPriority w:val="99"/>
    <w:rsid w:val="00244B70"/>
    <w:pPr>
      <w:tabs>
        <w:tab w:val="center" w:pos="4320"/>
        <w:tab w:val="right" w:pos="8640"/>
      </w:tabs>
    </w:pPr>
  </w:style>
  <w:style w:type="character" w:customStyle="1" w:styleId="HeaderChar">
    <w:name w:val="Header Char"/>
    <w:basedOn w:val="DefaultParagraphFont"/>
    <w:link w:val="Header"/>
    <w:uiPriority w:val="99"/>
    <w:rsid w:val="00244B70"/>
    <w:rPr>
      <w:rFonts w:eastAsia="Times New Roman" w:cs="Times New Roman"/>
      <w:szCs w:val="24"/>
      <w:lang w:eastAsia="ar-SA"/>
    </w:rPr>
  </w:style>
  <w:style w:type="paragraph" w:styleId="Footer">
    <w:name w:val="footer"/>
    <w:basedOn w:val="Normal"/>
    <w:link w:val="FooterChar"/>
    <w:rsid w:val="00244B70"/>
    <w:pPr>
      <w:tabs>
        <w:tab w:val="center" w:pos="4320"/>
        <w:tab w:val="right" w:pos="8640"/>
      </w:tabs>
    </w:pPr>
  </w:style>
  <w:style w:type="character" w:customStyle="1" w:styleId="FooterChar">
    <w:name w:val="Footer Char"/>
    <w:basedOn w:val="DefaultParagraphFont"/>
    <w:link w:val="Footer"/>
    <w:rsid w:val="00244B70"/>
    <w:rPr>
      <w:rFonts w:eastAsia="Times New Roman" w:cs="Times New Roman"/>
      <w:szCs w:val="24"/>
      <w:lang w:eastAsia="ar-SA"/>
    </w:rPr>
  </w:style>
  <w:style w:type="paragraph" w:styleId="TOC1">
    <w:name w:val="toc 1"/>
    <w:basedOn w:val="Normal"/>
    <w:next w:val="Normal"/>
    <w:semiHidden/>
    <w:rsid w:val="00244B70"/>
  </w:style>
  <w:style w:type="paragraph" w:styleId="BalloonText">
    <w:name w:val="Balloon Text"/>
    <w:basedOn w:val="Normal"/>
    <w:link w:val="BalloonTextChar"/>
    <w:semiHidden/>
    <w:rsid w:val="00244B70"/>
    <w:rPr>
      <w:rFonts w:ascii="Lucida Grande" w:hAnsi="Lucida Grande"/>
      <w:sz w:val="18"/>
      <w:szCs w:val="18"/>
    </w:rPr>
  </w:style>
  <w:style w:type="character" w:customStyle="1" w:styleId="BalloonTextChar">
    <w:name w:val="Balloon Text Char"/>
    <w:basedOn w:val="DefaultParagraphFont"/>
    <w:link w:val="BalloonText"/>
    <w:semiHidden/>
    <w:rsid w:val="00244B70"/>
    <w:rPr>
      <w:rFonts w:ascii="Lucida Grande" w:eastAsia="Times New Roman" w:hAnsi="Lucida Grande" w:cs="Times New Roman"/>
      <w:sz w:val="18"/>
      <w:szCs w:val="18"/>
      <w:lang w:eastAsia="ar-SA"/>
    </w:rPr>
  </w:style>
  <w:style w:type="character" w:styleId="CommentReference">
    <w:name w:val="annotation reference"/>
    <w:semiHidden/>
    <w:rsid w:val="00244B70"/>
    <w:rPr>
      <w:sz w:val="18"/>
    </w:rPr>
  </w:style>
  <w:style w:type="character" w:customStyle="1" w:styleId="CommentTextChar">
    <w:name w:val="Comment Text Char"/>
    <w:basedOn w:val="DefaultParagraphFont"/>
    <w:link w:val="CommentText"/>
    <w:semiHidden/>
    <w:rsid w:val="00244B70"/>
    <w:rPr>
      <w:rFonts w:eastAsia="Times New Roman" w:cs="Times New Roman"/>
      <w:szCs w:val="24"/>
      <w:lang w:eastAsia="ar-SA"/>
    </w:rPr>
  </w:style>
  <w:style w:type="paragraph" w:styleId="CommentText">
    <w:name w:val="annotation text"/>
    <w:basedOn w:val="Normal"/>
    <w:link w:val="CommentTextChar"/>
    <w:semiHidden/>
    <w:rsid w:val="00244B70"/>
  </w:style>
  <w:style w:type="character" w:customStyle="1" w:styleId="CommentSubjectChar">
    <w:name w:val="Comment Subject Char"/>
    <w:basedOn w:val="CommentTextChar"/>
    <w:link w:val="CommentSubject"/>
    <w:semiHidden/>
    <w:rsid w:val="00244B70"/>
    <w:rPr>
      <w:rFonts w:eastAsia="Times New Roman" w:cs="Times New Roman"/>
      <w:szCs w:val="24"/>
      <w:lang w:eastAsia="ar-SA"/>
    </w:rPr>
  </w:style>
  <w:style w:type="paragraph" w:styleId="CommentSubject">
    <w:name w:val="annotation subject"/>
    <w:basedOn w:val="CommentText"/>
    <w:next w:val="CommentText"/>
    <w:link w:val="CommentSubjectChar"/>
    <w:semiHidden/>
    <w:rsid w:val="00244B70"/>
  </w:style>
  <w:style w:type="table" w:styleId="TableGrid">
    <w:name w:val="Table Grid"/>
    <w:basedOn w:val="TableNormal"/>
    <w:rsid w:val="001B61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a"/>
    <w:basedOn w:val="DefaultParagraphFont"/>
    <w:rsid w:val="00DD0B35"/>
  </w:style>
  <w:style w:type="paragraph" w:styleId="BodyText2">
    <w:name w:val="Body Text 2"/>
    <w:basedOn w:val="Normal"/>
    <w:rsid w:val="00537FE4"/>
    <w:pPr>
      <w:suppressAutoHyphens w:val="0"/>
    </w:pPr>
    <w:rPr>
      <w:rFonts w:eastAsia="Times"/>
      <w:color w:val="0000FF"/>
      <w:szCs w:val="20"/>
      <w:lang w:eastAsia="en-US"/>
    </w:rPr>
  </w:style>
  <w:style w:type="character" w:styleId="Strong">
    <w:name w:val="Strong"/>
    <w:basedOn w:val="DefaultParagraphFont"/>
    <w:qFormat/>
    <w:rsid w:val="00743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1589">
      <w:bodyDiv w:val="1"/>
      <w:marLeft w:val="0"/>
      <w:marRight w:val="0"/>
      <w:marTop w:val="0"/>
      <w:marBottom w:val="0"/>
      <w:divBdr>
        <w:top w:val="none" w:sz="0" w:space="0" w:color="auto"/>
        <w:left w:val="none" w:sz="0" w:space="0" w:color="auto"/>
        <w:bottom w:val="none" w:sz="0" w:space="0" w:color="auto"/>
        <w:right w:val="none" w:sz="0" w:space="0" w:color="auto"/>
      </w:divBdr>
    </w:div>
    <w:div w:id="737048718">
      <w:bodyDiv w:val="1"/>
      <w:marLeft w:val="0"/>
      <w:marRight w:val="0"/>
      <w:marTop w:val="0"/>
      <w:marBottom w:val="0"/>
      <w:divBdr>
        <w:top w:val="none" w:sz="0" w:space="0" w:color="auto"/>
        <w:left w:val="none" w:sz="0" w:space="0" w:color="auto"/>
        <w:bottom w:val="none" w:sz="0" w:space="0" w:color="auto"/>
        <w:right w:val="none" w:sz="0" w:space="0" w:color="auto"/>
      </w:divBdr>
    </w:div>
    <w:div w:id="1006977704">
      <w:bodyDiv w:val="1"/>
      <w:marLeft w:val="0"/>
      <w:marRight w:val="0"/>
      <w:marTop w:val="0"/>
      <w:marBottom w:val="0"/>
      <w:divBdr>
        <w:top w:val="none" w:sz="0" w:space="0" w:color="auto"/>
        <w:left w:val="none" w:sz="0" w:space="0" w:color="auto"/>
        <w:bottom w:val="none" w:sz="0" w:space="0" w:color="auto"/>
        <w:right w:val="none" w:sz="0" w:space="0" w:color="auto"/>
      </w:divBdr>
    </w:div>
    <w:div w:id="1123159659">
      <w:bodyDiv w:val="1"/>
      <w:marLeft w:val="0"/>
      <w:marRight w:val="0"/>
      <w:marTop w:val="0"/>
      <w:marBottom w:val="0"/>
      <w:divBdr>
        <w:top w:val="none" w:sz="0" w:space="0" w:color="auto"/>
        <w:left w:val="none" w:sz="0" w:space="0" w:color="auto"/>
        <w:bottom w:val="none" w:sz="0" w:space="0" w:color="auto"/>
        <w:right w:val="none" w:sz="0" w:space="0" w:color="auto"/>
      </w:divBdr>
    </w:div>
    <w:div w:id="14802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sia-major.com/Reviews/TRK/asianmedia.html" TargetMode="External"/><Relationship Id="rId20" Type="http://schemas.openxmlformats.org/officeDocument/2006/relationships/footer" Target="footer2.xml"/><Relationship Id="rId21" Type="http://schemas.openxmlformats.org/officeDocument/2006/relationships/chart" Target="charts/chart1.xml"/><Relationship Id="rId22" Type="http://schemas.openxmlformats.org/officeDocument/2006/relationships/chart" Target="charts/chart2.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libertysecurity.org/IMG/pdf_Challenge_Project_report.pdf" TargetMode="External"/><Relationship Id="rId11" Type="http://schemas.openxmlformats.org/officeDocument/2006/relationships/hyperlink" Target="http://www.jrf.org.uk/sites/files/jrf/2230-deprivation-cohesion-immigration.pdf" TargetMode="External"/><Relationship Id="rId12" Type="http://schemas.openxmlformats.org/officeDocument/2006/relationships/hyperlink" Target="http://security.homeoffice.gov.uk/legislation/current-legislation/terrorism-act-2000/proscribed-groups" TargetMode="External"/><Relationship Id="rId13" Type="http://schemas.openxmlformats.org/officeDocument/2006/relationships/hyperlink" Target="http://www.pressgazette.co.uk/story.asp?storyCode=30330&amp;sectioncode=1" TargetMode="External"/><Relationship Id="rId14" Type="http://schemas.openxmlformats.org/officeDocument/2006/relationships/hyperlink" Target="http://www.cardiff.ac.uk/jomec/resources/08channel4-dispatches.pdf" TargetMode="External"/><Relationship Id="rId15" Type="http://schemas.openxmlformats.org/officeDocument/2006/relationships/hyperlink" Target="http://www.muslimnews.co.uk/index/section.php?page=about_us" TargetMode="External"/><Relationship Id="rId16" Type="http://schemas.openxmlformats.org/officeDocument/2006/relationships/hyperlink" Target="http://www.nrs.co.uk/top_line_readership" TargetMode="External"/><Relationship Id="rId17" Type="http://schemas.openxmlformats.org/officeDocument/2006/relationships/hyperlink" Target="http://www.lrb.co.uk/v30/n07/gareth-peirce/was-it-like-this-for-the-irish" TargetMode="External"/><Relationship Id="rId18" Type="http://schemas.openxmlformats.org/officeDocument/2006/relationships/hyperlink" Target="http://fra.europa.eu/fraWebsite/attachments/MR-CH4-15-United-Kingdom.pdf"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58823529411765"/>
          <c:y val="0.0400763358778626"/>
          <c:w val="0.943529411764706"/>
          <c:h val="0.395038167938932"/>
        </c:manualLayout>
      </c:layout>
      <c:barChart>
        <c:barDir val="col"/>
        <c:grouping val="stacked"/>
        <c:varyColors val="0"/>
        <c:ser>
          <c:idx val="0"/>
          <c:order val="0"/>
          <c:tx>
            <c:strRef>
              <c:f>Sheet1!$A$2</c:f>
              <c:strCache>
                <c:ptCount val="1"/>
                <c:pt idx="0">
                  <c:v>Daily Mail &amp; Mail on Sunday (n=543)</c:v>
                </c:pt>
              </c:strCache>
            </c:strRef>
          </c:tx>
          <c:spPr>
            <a:solidFill>
              <a:srgbClr val="9999FF"/>
            </a:solidFill>
            <a:ln w="12683">
              <a:solidFill>
                <a:srgbClr val="000000"/>
              </a:solidFill>
              <a:prstDash val="solid"/>
            </a:ln>
          </c:spPr>
          <c:invertIfNegative val="0"/>
          <c:cat>
            <c:strRef>
              <c:f>Sheet1!$B$1:$S$1</c:f>
              <c:strCache>
                <c:ptCount val="18"/>
                <c:pt idx="0">
                  <c:v>Birmingham Bombings &amp; PTA (n=186)</c:v>
                </c:pt>
                <c:pt idx="1">
                  <c:v>Maguire Family Arrested (n=7)</c:v>
                </c:pt>
                <c:pt idx="2">
                  <c:v>Harrods Bombing (n=160)</c:v>
                </c:pt>
                <c:pt idx="3">
                  <c:v>Fatwa  (n=234)</c:v>
                </c:pt>
                <c:pt idx="4">
                  <c:v>Guildford Four Release (n=109)</c:v>
                </c:pt>
                <c:pt idx="5">
                  <c:v>Birmingham Six Release (n=122)</c:v>
                </c:pt>
                <c:pt idx="6">
                  <c:v>Maguire Seven Exoneration (n=16)</c:v>
                </c:pt>
                <c:pt idx="7">
                  <c:v>Diarmuid O’Neill Shooting (n=64)</c:v>
                </c:pt>
                <c:pt idx="8">
                  <c:v>Good Friday Agreement (n=441)</c:v>
                </c:pt>
                <c:pt idx="9">
                  <c:v>2000 Terrorism Act (n=17)</c:v>
                </c:pt>
                <c:pt idx="10">
                  <c:v>2001 Riots (n=248)</c:v>
                </c:pt>
                <c:pt idx="11">
                  <c:v>Tipton Three Release (n=72)</c:v>
                </c:pt>
                <c:pt idx="12">
                  <c:v>London Bombings (n=200)</c:v>
                </c:pt>
                <c:pt idx="13">
                  <c:v>De Menezes Shooting (n=209)</c:v>
                </c:pt>
                <c:pt idx="14">
                  <c:v>2006 Terrorism Act (n=187)</c:v>
                </c:pt>
                <c:pt idx="15">
                  <c:v>Forest Gate Raid (n=171)</c:v>
                </c:pt>
                <c:pt idx="16">
                  <c:v>Veil Controversy (n=277)</c:v>
                </c:pt>
                <c:pt idx="17">
                  <c:v>Birmingham Raid (n=96)</c:v>
                </c:pt>
              </c:strCache>
            </c:strRef>
          </c:cat>
          <c:val>
            <c:numRef>
              <c:f>Sheet1!$B$2:$S$2</c:f>
              <c:numCache>
                <c:formatCode>General</c:formatCode>
                <c:ptCount val="18"/>
                <c:pt idx="0">
                  <c:v>36.0</c:v>
                </c:pt>
                <c:pt idx="1">
                  <c:v>2.0</c:v>
                </c:pt>
                <c:pt idx="2">
                  <c:v>24.0</c:v>
                </c:pt>
                <c:pt idx="3">
                  <c:v>26.0</c:v>
                </c:pt>
                <c:pt idx="4">
                  <c:v>11.0</c:v>
                </c:pt>
                <c:pt idx="5">
                  <c:v>11.0</c:v>
                </c:pt>
                <c:pt idx="7">
                  <c:v>1.0</c:v>
                </c:pt>
                <c:pt idx="8">
                  <c:v>90.0</c:v>
                </c:pt>
                <c:pt idx="10">
                  <c:v>51.0</c:v>
                </c:pt>
                <c:pt idx="11">
                  <c:v>13.0</c:v>
                </c:pt>
                <c:pt idx="12">
                  <c:v>51.0</c:v>
                </c:pt>
                <c:pt idx="13">
                  <c:v>60.0</c:v>
                </c:pt>
                <c:pt idx="14">
                  <c:v>42.0</c:v>
                </c:pt>
                <c:pt idx="15">
                  <c:v>42.0</c:v>
                </c:pt>
                <c:pt idx="16">
                  <c:v>63.0</c:v>
                </c:pt>
                <c:pt idx="17">
                  <c:v>20.0</c:v>
                </c:pt>
              </c:numCache>
            </c:numRef>
          </c:val>
        </c:ser>
        <c:ser>
          <c:idx val="1"/>
          <c:order val="1"/>
          <c:tx>
            <c:strRef>
              <c:f>Sheet1!$A$3</c:f>
              <c:strCache>
                <c:ptCount val="1"/>
                <c:pt idx="0">
                  <c:v>Daily Telegraph &amp; Sunday Telegraph (n=671)</c:v>
                </c:pt>
              </c:strCache>
            </c:strRef>
          </c:tx>
          <c:spPr>
            <a:solidFill>
              <a:srgbClr val="993366"/>
            </a:solidFill>
            <a:ln w="12683">
              <a:solidFill>
                <a:srgbClr val="000000"/>
              </a:solidFill>
              <a:prstDash val="solid"/>
            </a:ln>
          </c:spPr>
          <c:invertIfNegative val="0"/>
          <c:cat>
            <c:strRef>
              <c:f>Sheet1!$B$1:$S$1</c:f>
              <c:strCache>
                <c:ptCount val="18"/>
                <c:pt idx="0">
                  <c:v>Birmingham Bombings &amp; PTA (n=186)</c:v>
                </c:pt>
                <c:pt idx="1">
                  <c:v>Maguire Family Arrested (n=7)</c:v>
                </c:pt>
                <c:pt idx="2">
                  <c:v>Harrods Bombing (n=160)</c:v>
                </c:pt>
                <c:pt idx="3">
                  <c:v>Fatwa  (n=234)</c:v>
                </c:pt>
                <c:pt idx="4">
                  <c:v>Guildford Four Release (n=109)</c:v>
                </c:pt>
                <c:pt idx="5">
                  <c:v>Birmingham Six Release (n=122)</c:v>
                </c:pt>
                <c:pt idx="6">
                  <c:v>Maguire Seven Exoneration (n=16)</c:v>
                </c:pt>
                <c:pt idx="7">
                  <c:v>Diarmuid O’Neill Shooting (n=64)</c:v>
                </c:pt>
                <c:pt idx="8">
                  <c:v>Good Friday Agreement (n=441)</c:v>
                </c:pt>
                <c:pt idx="9">
                  <c:v>2000 Terrorism Act (n=17)</c:v>
                </c:pt>
                <c:pt idx="10">
                  <c:v>2001 Riots (n=248)</c:v>
                </c:pt>
                <c:pt idx="11">
                  <c:v>Tipton Three Release (n=72)</c:v>
                </c:pt>
                <c:pt idx="12">
                  <c:v>London Bombings (n=200)</c:v>
                </c:pt>
                <c:pt idx="13">
                  <c:v>De Menezes Shooting (n=209)</c:v>
                </c:pt>
                <c:pt idx="14">
                  <c:v>2006 Terrorism Act (n=187)</c:v>
                </c:pt>
                <c:pt idx="15">
                  <c:v>Forest Gate Raid (n=171)</c:v>
                </c:pt>
                <c:pt idx="16">
                  <c:v>Veil Controversy (n=277)</c:v>
                </c:pt>
                <c:pt idx="17">
                  <c:v>Birmingham Raid (n=96)</c:v>
                </c:pt>
              </c:strCache>
            </c:strRef>
          </c:cat>
          <c:val>
            <c:numRef>
              <c:f>Sheet1!$B$3:$S$3</c:f>
              <c:numCache>
                <c:formatCode>General</c:formatCode>
                <c:ptCount val="18"/>
                <c:pt idx="0">
                  <c:v>60.0</c:v>
                </c:pt>
                <c:pt idx="1">
                  <c:v>2.0</c:v>
                </c:pt>
                <c:pt idx="2">
                  <c:v>58.0</c:v>
                </c:pt>
                <c:pt idx="3">
                  <c:v>40.0</c:v>
                </c:pt>
                <c:pt idx="4">
                  <c:v>25.0</c:v>
                </c:pt>
                <c:pt idx="5">
                  <c:v>25.0</c:v>
                </c:pt>
                <c:pt idx="6">
                  <c:v>2.0</c:v>
                </c:pt>
                <c:pt idx="7">
                  <c:v>14.0</c:v>
                </c:pt>
                <c:pt idx="8">
                  <c:v>162.0</c:v>
                </c:pt>
                <c:pt idx="9">
                  <c:v>2.0</c:v>
                </c:pt>
                <c:pt idx="10">
                  <c:v>43.0</c:v>
                </c:pt>
                <c:pt idx="11">
                  <c:v>18.0</c:v>
                </c:pt>
                <c:pt idx="12">
                  <c:v>24.0</c:v>
                </c:pt>
                <c:pt idx="13">
                  <c:v>35.0</c:v>
                </c:pt>
                <c:pt idx="14">
                  <c:v>49.0</c:v>
                </c:pt>
                <c:pt idx="15">
                  <c:v>40.0</c:v>
                </c:pt>
                <c:pt idx="16">
                  <c:v>50.0</c:v>
                </c:pt>
                <c:pt idx="17">
                  <c:v>22.0</c:v>
                </c:pt>
              </c:numCache>
            </c:numRef>
          </c:val>
        </c:ser>
        <c:ser>
          <c:idx val="2"/>
          <c:order val="2"/>
          <c:tx>
            <c:strRef>
              <c:f>Sheet1!$A$4</c:f>
              <c:strCache>
                <c:ptCount val="1"/>
                <c:pt idx="0">
                  <c:v>Guardian and Observer (n=884)</c:v>
                </c:pt>
              </c:strCache>
            </c:strRef>
          </c:tx>
          <c:spPr>
            <a:solidFill>
              <a:srgbClr val="FFFFCC"/>
            </a:solidFill>
            <a:ln w="12683">
              <a:solidFill>
                <a:srgbClr val="000000"/>
              </a:solidFill>
              <a:prstDash val="solid"/>
            </a:ln>
          </c:spPr>
          <c:invertIfNegative val="0"/>
          <c:cat>
            <c:strRef>
              <c:f>Sheet1!$B$1:$S$1</c:f>
              <c:strCache>
                <c:ptCount val="18"/>
                <c:pt idx="0">
                  <c:v>Birmingham Bombings &amp; PTA (n=186)</c:v>
                </c:pt>
                <c:pt idx="1">
                  <c:v>Maguire Family Arrested (n=7)</c:v>
                </c:pt>
                <c:pt idx="2">
                  <c:v>Harrods Bombing (n=160)</c:v>
                </c:pt>
                <c:pt idx="3">
                  <c:v>Fatwa  (n=234)</c:v>
                </c:pt>
                <c:pt idx="4">
                  <c:v>Guildford Four Release (n=109)</c:v>
                </c:pt>
                <c:pt idx="5">
                  <c:v>Birmingham Six Release (n=122)</c:v>
                </c:pt>
                <c:pt idx="6">
                  <c:v>Maguire Seven Exoneration (n=16)</c:v>
                </c:pt>
                <c:pt idx="7">
                  <c:v>Diarmuid O’Neill Shooting (n=64)</c:v>
                </c:pt>
                <c:pt idx="8">
                  <c:v>Good Friday Agreement (n=441)</c:v>
                </c:pt>
                <c:pt idx="9">
                  <c:v>2000 Terrorism Act (n=17)</c:v>
                </c:pt>
                <c:pt idx="10">
                  <c:v>2001 Riots (n=248)</c:v>
                </c:pt>
                <c:pt idx="11">
                  <c:v>Tipton Three Release (n=72)</c:v>
                </c:pt>
                <c:pt idx="12">
                  <c:v>London Bombings (n=200)</c:v>
                </c:pt>
                <c:pt idx="13">
                  <c:v>De Menezes Shooting (n=209)</c:v>
                </c:pt>
                <c:pt idx="14">
                  <c:v>2006 Terrorism Act (n=187)</c:v>
                </c:pt>
                <c:pt idx="15">
                  <c:v>Forest Gate Raid (n=171)</c:v>
                </c:pt>
                <c:pt idx="16">
                  <c:v>Veil Controversy (n=277)</c:v>
                </c:pt>
                <c:pt idx="17">
                  <c:v>Birmingham Raid (n=96)</c:v>
                </c:pt>
              </c:strCache>
            </c:strRef>
          </c:cat>
          <c:val>
            <c:numRef>
              <c:f>Sheet1!$B$4:$S$4</c:f>
              <c:numCache>
                <c:formatCode>General</c:formatCode>
                <c:ptCount val="18"/>
                <c:pt idx="0">
                  <c:v>52.0</c:v>
                </c:pt>
                <c:pt idx="1">
                  <c:v>1.0</c:v>
                </c:pt>
                <c:pt idx="2">
                  <c:v>30.0</c:v>
                </c:pt>
                <c:pt idx="3">
                  <c:v>123.0</c:v>
                </c:pt>
                <c:pt idx="4">
                  <c:v>47.0</c:v>
                </c:pt>
                <c:pt idx="5">
                  <c:v>57.0</c:v>
                </c:pt>
                <c:pt idx="6">
                  <c:v>7.0</c:v>
                </c:pt>
                <c:pt idx="7">
                  <c:v>15.0</c:v>
                </c:pt>
                <c:pt idx="8">
                  <c:v>103.0</c:v>
                </c:pt>
                <c:pt idx="9">
                  <c:v>10.0</c:v>
                </c:pt>
                <c:pt idx="10">
                  <c:v>71.0</c:v>
                </c:pt>
                <c:pt idx="11">
                  <c:v>19.0</c:v>
                </c:pt>
                <c:pt idx="12">
                  <c:v>47.0</c:v>
                </c:pt>
                <c:pt idx="13">
                  <c:v>70.0</c:v>
                </c:pt>
                <c:pt idx="14">
                  <c:v>85.0</c:v>
                </c:pt>
                <c:pt idx="15">
                  <c:v>49.0</c:v>
                </c:pt>
                <c:pt idx="16">
                  <c:v>70.0</c:v>
                </c:pt>
                <c:pt idx="17">
                  <c:v>28.0</c:v>
                </c:pt>
              </c:numCache>
            </c:numRef>
          </c:val>
        </c:ser>
        <c:ser>
          <c:idx val="3"/>
          <c:order val="3"/>
          <c:tx>
            <c:strRef>
              <c:f>Sheet1!$A$5</c:f>
              <c:strCache>
                <c:ptCount val="1"/>
                <c:pt idx="0">
                  <c:v>Sun &amp; News of the World (n=474)</c:v>
                </c:pt>
              </c:strCache>
            </c:strRef>
          </c:tx>
          <c:spPr>
            <a:solidFill>
              <a:srgbClr val="CCFFFF"/>
            </a:solidFill>
            <a:ln w="12683">
              <a:solidFill>
                <a:srgbClr val="000000"/>
              </a:solidFill>
              <a:prstDash val="solid"/>
            </a:ln>
          </c:spPr>
          <c:invertIfNegative val="0"/>
          <c:cat>
            <c:strRef>
              <c:f>Sheet1!$B$1:$S$1</c:f>
              <c:strCache>
                <c:ptCount val="18"/>
                <c:pt idx="0">
                  <c:v>Birmingham Bombings &amp; PTA (n=186)</c:v>
                </c:pt>
                <c:pt idx="1">
                  <c:v>Maguire Family Arrested (n=7)</c:v>
                </c:pt>
                <c:pt idx="2">
                  <c:v>Harrods Bombing (n=160)</c:v>
                </c:pt>
                <c:pt idx="3">
                  <c:v>Fatwa  (n=234)</c:v>
                </c:pt>
                <c:pt idx="4">
                  <c:v>Guildford Four Release (n=109)</c:v>
                </c:pt>
                <c:pt idx="5">
                  <c:v>Birmingham Six Release (n=122)</c:v>
                </c:pt>
                <c:pt idx="6">
                  <c:v>Maguire Seven Exoneration (n=16)</c:v>
                </c:pt>
                <c:pt idx="7">
                  <c:v>Diarmuid O’Neill Shooting (n=64)</c:v>
                </c:pt>
                <c:pt idx="8">
                  <c:v>Good Friday Agreement (n=441)</c:v>
                </c:pt>
                <c:pt idx="9">
                  <c:v>2000 Terrorism Act (n=17)</c:v>
                </c:pt>
                <c:pt idx="10">
                  <c:v>2001 Riots (n=248)</c:v>
                </c:pt>
                <c:pt idx="11">
                  <c:v>Tipton Three Release (n=72)</c:v>
                </c:pt>
                <c:pt idx="12">
                  <c:v>London Bombings (n=200)</c:v>
                </c:pt>
                <c:pt idx="13">
                  <c:v>De Menezes Shooting (n=209)</c:v>
                </c:pt>
                <c:pt idx="14">
                  <c:v>2006 Terrorism Act (n=187)</c:v>
                </c:pt>
                <c:pt idx="15">
                  <c:v>Forest Gate Raid (n=171)</c:v>
                </c:pt>
                <c:pt idx="16">
                  <c:v>Veil Controversy (n=277)</c:v>
                </c:pt>
                <c:pt idx="17">
                  <c:v>Birmingham Raid (n=96)</c:v>
                </c:pt>
              </c:strCache>
            </c:strRef>
          </c:cat>
          <c:val>
            <c:numRef>
              <c:f>Sheet1!$B$5:$S$5</c:f>
              <c:numCache>
                <c:formatCode>General</c:formatCode>
                <c:ptCount val="18"/>
                <c:pt idx="0">
                  <c:v>32.0</c:v>
                </c:pt>
                <c:pt idx="1">
                  <c:v>2.0</c:v>
                </c:pt>
                <c:pt idx="2">
                  <c:v>47.0</c:v>
                </c:pt>
                <c:pt idx="3">
                  <c:v>33.0</c:v>
                </c:pt>
                <c:pt idx="4">
                  <c:v>8.0</c:v>
                </c:pt>
                <c:pt idx="5">
                  <c:v>14.0</c:v>
                </c:pt>
                <c:pt idx="7">
                  <c:v>14.0</c:v>
                </c:pt>
                <c:pt idx="8">
                  <c:v>51.0</c:v>
                </c:pt>
                <c:pt idx="10">
                  <c:v>46.0</c:v>
                </c:pt>
                <c:pt idx="11">
                  <c:v>18.0</c:v>
                </c:pt>
                <c:pt idx="12">
                  <c:v>18.0</c:v>
                </c:pt>
                <c:pt idx="13">
                  <c:v>44.0</c:v>
                </c:pt>
                <c:pt idx="14">
                  <c:v>7.0</c:v>
                </c:pt>
                <c:pt idx="15">
                  <c:v>33.0</c:v>
                </c:pt>
                <c:pt idx="16">
                  <c:v>84.0</c:v>
                </c:pt>
                <c:pt idx="17">
                  <c:v>23.0</c:v>
                </c:pt>
              </c:numCache>
            </c:numRef>
          </c:val>
        </c:ser>
        <c:ser>
          <c:idx val="4"/>
          <c:order val="4"/>
          <c:tx>
            <c:strRef>
              <c:f>Sheet1!$A$6</c:f>
              <c:strCache>
                <c:ptCount val="1"/>
                <c:pt idx="0">
                  <c:v>Asian Times (n=62)</c:v>
                </c:pt>
              </c:strCache>
            </c:strRef>
          </c:tx>
          <c:spPr>
            <a:solidFill>
              <a:srgbClr val="660066"/>
            </a:solidFill>
            <a:ln w="12683">
              <a:solidFill>
                <a:srgbClr val="000000"/>
              </a:solidFill>
              <a:prstDash val="solid"/>
            </a:ln>
          </c:spPr>
          <c:invertIfNegative val="0"/>
          <c:cat>
            <c:strRef>
              <c:f>Sheet1!$B$1:$S$1</c:f>
              <c:strCache>
                <c:ptCount val="18"/>
                <c:pt idx="0">
                  <c:v>Birmingham Bombings &amp; PTA (n=186)</c:v>
                </c:pt>
                <c:pt idx="1">
                  <c:v>Maguire Family Arrested (n=7)</c:v>
                </c:pt>
                <c:pt idx="2">
                  <c:v>Harrods Bombing (n=160)</c:v>
                </c:pt>
                <c:pt idx="3">
                  <c:v>Fatwa  (n=234)</c:v>
                </c:pt>
                <c:pt idx="4">
                  <c:v>Guildford Four Release (n=109)</c:v>
                </c:pt>
                <c:pt idx="5">
                  <c:v>Birmingham Six Release (n=122)</c:v>
                </c:pt>
                <c:pt idx="6">
                  <c:v>Maguire Seven Exoneration (n=16)</c:v>
                </c:pt>
                <c:pt idx="7">
                  <c:v>Diarmuid O’Neill Shooting (n=64)</c:v>
                </c:pt>
                <c:pt idx="8">
                  <c:v>Good Friday Agreement (n=441)</c:v>
                </c:pt>
                <c:pt idx="9">
                  <c:v>2000 Terrorism Act (n=17)</c:v>
                </c:pt>
                <c:pt idx="10">
                  <c:v>2001 Riots (n=248)</c:v>
                </c:pt>
                <c:pt idx="11">
                  <c:v>Tipton Three Release (n=72)</c:v>
                </c:pt>
                <c:pt idx="12">
                  <c:v>London Bombings (n=200)</c:v>
                </c:pt>
                <c:pt idx="13">
                  <c:v>De Menezes Shooting (n=209)</c:v>
                </c:pt>
                <c:pt idx="14">
                  <c:v>2006 Terrorism Act (n=187)</c:v>
                </c:pt>
                <c:pt idx="15">
                  <c:v>Forest Gate Raid (n=171)</c:v>
                </c:pt>
                <c:pt idx="16">
                  <c:v>Veil Controversy (n=277)</c:v>
                </c:pt>
                <c:pt idx="17">
                  <c:v>Birmingham Raid (n=96)</c:v>
                </c:pt>
              </c:strCache>
            </c:strRef>
          </c:cat>
          <c:val>
            <c:numRef>
              <c:f>Sheet1!$B$6:$S$6</c:f>
              <c:numCache>
                <c:formatCode>General</c:formatCode>
                <c:ptCount val="18"/>
                <c:pt idx="3">
                  <c:v>8.0</c:v>
                </c:pt>
                <c:pt idx="4">
                  <c:v>2.0</c:v>
                </c:pt>
                <c:pt idx="10">
                  <c:v>26.0</c:v>
                </c:pt>
                <c:pt idx="11">
                  <c:v>2.0</c:v>
                </c:pt>
                <c:pt idx="12">
                  <c:v>16.0</c:v>
                </c:pt>
                <c:pt idx="14">
                  <c:v>1.0</c:v>
                </c:pt>
                <c:pt idx="15">
                  <c:v>2.0</c:v>
                </c:pt>
                <c:pt idx="16">
                  <c:v>4.0</c:v>
                </c:pt>
                <c:pt idx="17">
                  <c:v>1.0</c:v>
                </c:pt>
              </c:numCache>
            </c:numRef>
          </c:val>
        </c:ser>
        <c:ser>
          <c:idx val="5"/>
          <c:order val="5"/>
          <c:tx>
            <c:strRef>
              <c:f>Sheet1!$A$7</c:f>
              <c:strCache>
                <c:ptCount val="1"/>
                <c:pt idx="0">
                  <c:v>Irish Post (n=100)</c:v>
                </c:pt>
              </c:strCache>
            </c:strRef>
          </c:tx>
          <c:spPr>
            <a:solidFill>
              <a:srgbClr val="FF8080"/>
            </a:solidFill>
            <a:ln w="12683">
              <a:solidFill>
                <a:srgbClr val="000000"/>
              </a:solidFill>
              <a:prstDash val="solid"/>
            </a:ln>
          </c:spPr>
          <c:invertIfNegative val="0"/>
          <c:cat>
            <c:strRef>
              <c:f>Sheet1!$B$1:$S$1</c:f>
              <c:strCache>
                <c:ptCount val="18"/>
                <c:pt idx="0">
                  <c:v>Birmingham Bombings &amp; PTA (n=186)</c:v>
                </c:pt>
                <c:pt idx="1">
                  <c:v>Maguire Family Arrested (n=7)</c:v>
                </c:pt>
                <c:pt idx="2">
                  <c:v>Harrods Bombing (n=160)</c:v>
                </c:pt>
                <c:pt idx="3">
                  <c:v>Fatwa  (n=234)</c:v>
                </c:pt>
                <c:pt idx="4">
                  <c:v>Guildford Four Release (n=109)</c:v>
                </c:pt>
                <c:pt idx="5">
                  <c:v>Birmingham Six Release (n=122)</c:v>
                </c:pt>
                <c:pt idx="6">
                  <c:v>Maguire Seven Exoneration (n=16)</c:v>
                </c:pt>
                <c:pt idx="7">
                  <c:v>Diarmuid O’Neill Shooting (n=64)</c:v>
                </c:pt>
                <c:pt idx="8">
                  <c:v>Good Friday Agreement (n=441)</c:v>
                </c:pt>
                <c:pt idx="9">
                  <c:v>2000 Terrorism Act (n=17)</c:v>
                </c:pt>
                <c:pt idx="10">
                  <c:v>2001 Riots (n=248)</c:v>
                </c:pt>
                <c:pt idx="11">
                  <c:v>Tipton Three Release (n=72)</c:v>
                </c:pt>
                <c:pt idx="12">
                  <c:v>London Bombings (n=200)</c:v>
                </c:pt>
                <c:pt idx="13">
                  <c:v>De Menezes Shooting (n=209)</c:v>
                </c:pt>
                <c:pt idx="14">
                  <c:v>2006 Terrorism Act (n=187)</c:v>
                </c:pt>
                <c:pt idx="15">
                  <c:v>Forest Gate Raid (n=171)</c:v>
                </c:pt>
                <c:pt idx="16">
                  <c:v>Veil Controversy (n=277)</c:v>
                </c:pt>
                <c:pt idx="17">
                  <c:v>Birmingham Raid (n=96)</c:v>
                </c:pt>
              </c:strCache>
            </c:strRef>
          </c:cat>
          <c:val>
            <c:numRef>
              <c:f>Sheet1!$B$7:$S$7</c:f>
              <c:numCache>
                <c:formatCode>General</c:formatCode>
                <c:ptCount val="18"/>
                <c:pt idx="0">
                  <c:v>6.0</c:v>
                </c:pt>
                <c:pt idx="2">
                  <c:v>1.0</c:v>
                </c:pt>
                <c:pt idx="4">
                  <c:v>16.0</c:v>
                </c:pt>
                <c:pt idx="5">
                  <c:v>15.0</c:v>
                </c:pt>
                <c:pt idx="6">
                  <c:v>7.0</c:v>
                </c:pt>
                <c:pt idx="7">
                  <c:v>2.0</c:v>
                </c:pt>
                <c:pt idx="8">
                  <c:v>35.0</c:v>
                </c:pt>
                <c:pt idx="9">
                  <c:v>1.0</c:v>
                </c:pt>
                <c:pt idx="12">
                  <c:v>14.0</c:v>
                </c:pt>
                <c:pt idx="15">
                  <c:v>2.0</c:v>
                </c:pt>
                <c:pt idx="16">
                  <c:v>1.0</c:v>
                </c:pt>
              </c:numCache>
            </c:numRef>
          </c:val>
        </c:ser>
        <c:ser>
          <c:idx val="6"/>
          <c:order val="6"/>
          <c:tx>
            <c:strRef>
              <c:f>Sheet1!$A$8</c:f>
              <c:strCache>
                <c:ptCount val="1"/>
                <c:pt idx="0">
                  <c:v>Muslim News (n=64)</c:v>
                </c:pt>
              </c:strCache>
            </c:strRef>
          </c:tx>
          <c:spPr>
            <a:solidFill>
              <a:srgbClr val="0066CC"/>
            </a:solidFill>
            <a:ln w="12683">
              <a:solidFill>
                <a:srgbClr val="000000"/>
              </a:solidFill>
              <a:prstDash val="solid"/>
            </a:ln>
          </c:spPr>
          <c:invertIfNegative val="0"/>
          <c:cat>
            <c:strRef>
              <c:f>Sheet1!$B$1:$S$1</c:f>
              <c:strCache>
                <c:ptCount val="18"/>
                <c:pt idx="0">
                  <c:v>Birmingham Bombings &amp; PTA (n=186)</c:v>
                </c:pt>
                <c:pt idx="1">
                  <c:v>Maguire Family Arrested (n=7)</c:v>
                </c:pt>
                <c:pt idx="2">
                  <c:v>Harrods Bombing (n=160)</c:v>
                </c:pt>
                <c:pt idx="3">
                  <c:v>Fatwa  (n=234)</c:v>
                </c:pt>
                <c:pt idx="4">
                  <c:v>Guildford Four Release (n=109)</c:v>
                </c:pt>
                <c:pt idx="5">
                  <c:v>Birmingham Six Release (n=122)</c:v>
                </c:pt>
                <c:pt idx="6">
                  <c:v>Maguire Seven Exoneration (n=16)</c:v>
                </c:pt>
                <c:pt idx="7">
                  <c:v>Diarmuid O’Neill Shooting (n=64)</c:v>
                </c:pt>
                <c:pt idx="8">
                  <c:v>Good Friday Agreement (n=441)</c:v>
                </c:pt>
                <c:pt idx="9">
                  <c:v>2000 Terrorism Act (n=17)</c:v>
                </c:pt>
                <c:pt idx="10">
                  <c:v>2001 Riots (n=248)</c:v>
                </c:pt>
                <c:pt idx="11">
                  <c:v>Tipton Three Release (n=72)</c:v>
                </c:pt>
                <c:pt idx="12">
                  <c:v>London Bombings (n=200)</c:v>
                </c:pt>
                <c:pt idx="13">
                  <c:v>De Menezes Shooting (n=209)</c:v>
                </c:pt>
                <c:pt idx="14">
                  <c:v>2006 Terrorism Act (n=187)</c:v>
                </c:pt>
                <c:pt idx="15">
                  <c:v>Forest Gate Raid (n=171)</c:v>
                </c:pt>
                <c:pt idx="16">
                  <c:v>Veil Controversy (n=277)</c:v>
                </c:pt>
                <c:pt idx="17">
                  <c:v>Birmingham Raid (n=96)</c:v>
                </c:pt>
              </c:strCache>
            </c:strRef>
          </c:cat>
          <c:val>
            <c:numRef>
              <c:f>Sheet1!$B$8:$S$8</c:f>
              <c:numCache>
                <c:formatCode>General</c:formatCode>
                <c:ptCount val="18"/>
                <c:pt idx="3">
                  <c:v>4.0</c:v>
                </c:pt>
                <c:pt idx="9">
                  <c:v>4.0</c:v>
                </c:pt>
                <c:pt idx="10">
                  <c:v>11.0</c:v>
                </c:pt>
                <c:pt idx="11">
                  <c:v>2.0</c:v>
                </c:pt>
                <c:pt idx="12">
                  <c:v>30.0</c:v>
                </c:pt>
                <c:pt idx="14">
                  <c:v>3.0</c:v>
                </c:pt>
                <c:pt idx="15">
                  <c:v>3.0</c:v>
                </c:pt>
                <c:pt idx="16">
                  <c:v>5.0</c:v>
                </c:pt>
                <c:pt idx="17">
                  <c:v>2.0</c:v>
                </c:pt>
              </c:numCache>
            </c:numRef>
          </c:val>
        </c:ser>
        <c:dLbls>
          <c:showLegendKey val="0"/>
          <c:showVal val="0"/>
          <c:showCatName val="0"/>
          <c:showSerName val="0"/>
          <c:showPercent val="0"/>
          <c:showBubbleSize val="0"/>
        </c:dLbls>
        <c:gapWidth val="150"/>
        <c:overlap val="100"/>
        <c:axId val="2126427000"/>
        <c:axId val="2109793544"/>
      </c:barChart>
      <c:catAx>
        <c:axId val="2126427000"/>
        <c:scaling>
          <c:orientation val="minMax"/>
        </c:scaling>
        <c:delete val="0"/>
        <c:axPos val="b"/>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5400000" vert="horz"/>
          <a:lstStyle/>
          <a:p>
            <a:pPr>
              <a:defRPr sz="799" b="1" i="0" u="none" strike="noStrike" baseline="0">
                <a:solidFill>
                  <a:srgbClr val="000000"/>
                </a:solidFill>
                <a:latin typeface="Arial"/>
                <a:ea typeface="Arial"/>
                <a:cs typeface="Arial"/>
              </a:defRPr>
            </a:pPr>
            <a:endParaRPr lang="en-US"/>
          </a:p>
        </c:txPr>
        <c:crossAx val="2109793544"/>
        <c:crosses val="autoZero"/>
        <c:auto val="1"/>
        <c:lblAlgn val="ctr"/>
        <c:lblOffset val="100"/>
        <c:tickLblSkip val="1"/>
        <c:tickMarkSkip val="1"/>
        <c:noMultiLvlLbl val="0"/>
      </c:catAx>
      <c:valAx>
        <c:axId val="2109793544"/>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2126427000"/>
        <c:crosses val="autoZero"/>
        <c:crossBetween val="between"/>
      </c:valAx>
      <c:spPr>
        <a:solidFill>
          <a:srgbClr val="C0C0C0"/>
        </a:solidFill>
        <a:ln w="12683">
          <a:solidFill>
            <a:srgbClr val="808080"/>
          </a:solidFill>
          <a:prstDash val="solid"/>
        </a:ln>
      </c:spPr>
    </c:plotArea>
    <c:legend>
      <c:legendPos val="b"/>
      <c:layout>
        <c:manualLayout>
          <c:xMode val="edge"/>
          <c:yMode val="edge"/>
          <c:x val="0.0364705882352941"/>
          <c:y val="0.828244274809161"/>
          <c:w val="0.940000000000001"/>
          <c:h val="0.16793893129771"/>
        </c:manualLayout>
      </c:layout>
      <c:overlay val="0"/>
      <c:spPr>
        <a:noFill/>
        <a:ln w="3171">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2297"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67625899280576"/>
          <c:y val="0.0415019762845849"/>
          <c:w val="0.942446043165468"/>
          <c:h val="0.373517786561265"/>
        </c:manualLayout>
      </c:layout>
      <c:barChart>
        <c:barDir val="col"/>
        <c:grouping val="stacked"/>
        <c:varyColors val="0"/>
        <c:ser>
          <c:idx val="0"/>
          <c:order val="0"/>
          <c:tx>
            <c:strRef>
              <c:f>Sheet1!$A$2</c:f>
              <c:strCache>
                <c:ptCount val="1"/>
                <c:pt idx="0">
                  <c:v>Daily Mail &amp; Mail on Sunday (n=182)</c:v>
                </c:pt>
              </c:strCache>
            </c:strRef>
          </c:tx>
          <c:spPr>
            <a:solidFill>
              <a:srgbClr val="9999FF"/>
            </a:solidFill>
            <a:ln w="12674">
              <a:solidFill>
                <a:srgbClr val="000000"/>
              </a:solidFill>
              <a:prstDash val="solid"/>
            </a:ln>
          </c:spPr>
          <c:invertIfNegative val="0"/>
          <c:cat>
            <c:strRef>
              <c:f>Sheet1!$B$1:$T$1</c:f>
              <c:strCache>
                <c:ptCount val="19"/>
                <c:pt idx="0">
                  <c:v>Suspect Muslim (n=133; 12.45%)</c:v>
                </c:pt>
                <c:pt idx="1">
                  <c:v>Civil Liberties (n=129; 12.48%)</c:v>
                </c:pt>
                <c:pt idx="2">
                  <c:v>Rule of Law (n=118; 11.05%)</c:v>
                </c:pt>
                <c:pt idx="3">
                  <c:v>Shoot to Kill (n=105; 9.83%)</c:v>
                </c:pt>
                <c:pt idx="4">
                  <c:v>Suspect Police/Judiciary (n=97; 9.08%)</c:v>
                </c:pt>
                <c:pt idx="5">
                  <c:v>Race Relations (n=93)</c:v>
                </c:pt>
                <c:pt idx="6">
                  <c:v>Wrongful Arrest (n=67; 6.27%)</c:v>
                </c:pt>
                <c:pt idx="7">
                  <c:v>Muslim Terrorist (n=44; 4.12%)</c:v>
                </c:pt>
                <c:pt idx="8">
                  <c:v>Multiculturalism (n=38; 3.56%)</c:v>
                </c:pt>
                <c:pt idx="9">
                  <c:v>IRA/Sinn Féin (n=35; 3.28%)</c:v>
                </c:pt>
                <c:pt idx="10">
                  <c:v>Islamophobia (n=33; 3.09%)</c:v>
                </c:pt>
                <c:pt idx="11">
                  <c:v>Non-suspect Muslim (n=30; 2.81%)</c:v>
                </c:pt>
                <c:pt idx="12">
                  <c:v>Religious Tolerance (n=27; 2.53%)</c:v>
                </c:pt>
                <c:pt idx="13">
                  <c:v>Fundamentalism (n=27; 2.53%)</c:v>
                </c:pt>
                <c:pt idx="14">
                  <c:v>Suspect Irish (n=26; 2.43%)</c:v>
                </c:pt>
                <c:pt idx="15">
                  <c:v>Non-suspect Irish (n=25; 2.34%)</c:v>
                </c:pt>
                <c:pt idx="16">
                  <c:v>Freedom of Speech (n=16; 1.5%)</c:v>
                </c:pt>
                <c:pt idx="17">
                  <c:v>Britishness (n=14; 1.31%)</c:v>
                </c:pt>
                <c:pt idx="18">
                  <c:v>Irishophobia (n=11; 1.03%)</c:v>
                </c:pt>
              </c:strCache>
            </c:strRef>
          </c:cat>
          <c:val>
            <c:numRef>
              <c:f>Sheet1!$B$2:$T$2</c:f>
              <c:numCache>
                <c:formatCode>General</c:formatCode>
                <c:ptCount val="19"/>
                <c:pt idx="0">
                  <c:v>33.0</c:v>
                </c:pt>
                <c:pt idx="1">
                  <c:v>18.0</c:v>
                </c:pt>
                <c:pt idx="2">
                  <c:v>14.0</c:v>
                </c:pt>
                <c:pt idx="3">
                  <c:v>31.0</c:v>
                </c:pt>
                <c:pt idx="4">
                  <c:v>12.0</c:v>
                </c:pt>
                <c:pt idx="5">
                  <c:v>13.0</c:v>
                </c:pt>
                <c:pt idx="6">
                  <c:v>5.0</c:v>
                </c:pt>
                <c:pt idx="7">
                  <c:v>9.0</c:v>
                </c:pt>
                <c:pt idx="8">
                  <c:v>8.0</c:v>
                </c:pt>
                <c:pt idx="9">
                  <c:v>5.0</c:v>
                </c:pt>
                <c:pt idx="10">
                  <c:v>1.0</c:v>
                </c:pt>
                <c:pt idx="11">
                  <c:v>5.0</c:v>
                </c:pt>
                <c:pt idx="12">
                  <c:v>4.0</c:v>
                </c:pt>
                <c:pt idx="13">
                  <c:v>6.0</c:v>
                </c:pt>
                <c:pt idx="14">
                  <c:v>4.0</c:v>
                </c:pt>
                <c:pt idx="15">
                  <c:v>4.0</c:v>
                </c:pt>
                <c:pt idx="16">
                  <c:v>3.0</c:v>
                </c:pt>
                <c:pt idx="17">
                  <c:v>4.0</c:v>
                </c:pt>
                <c:pt idx="18">
                  <c:v>3.0</c:v>
                </c:pt>
              </c:numCache>
            </c:numRef>
          </c:val>
        </c:ser>
        <c:ser>
          <c:idx val="1"/>
          <c:order val="1"/>
          <c:tx>
            <c:strRef>
              <c:f>Sheet1!$A$3</c:f>
              <c:strCache>
                <c:ptCount val="1"/>
                <c:pt idx="0">
                  <c:v>Daily Telegraph &amp; Sunday Telegraph (n=218)</c:v>
                </c:pt>
              </c:strCache>
            </c:strRef>
          </c:tx>
          <c:spPr>
            <a:solidFill>
              <a:srgbClr val="993366"/>
            </a:solidFill>
            <a:ln w="12674">
              <a:solidFill>
                <a:srgbClr val="000000"/>
              </a:solidFill>
              <a:prstDash val="solid"/>
            </a:ln>
          </c:spPr>
          <c:invertIfNegative val="0"/>
          <c:cat>
            <c:strRef>
              <c:f>Sheet1!$B$1:$T$1</c:f>
              <c:strCache>
                <c:ptCount val="19"/>
                <c:pt idx="0">
                  <c:v>Suspect Muslim (n=133; 12.45%)</c:v>
                </c:pt>
                <c:pt idx="1">
                  <c:v>Civil Liberties (n=129; 12.48%)</c:v>
                </c:pt>
                <c:pt idx="2">
                  <c:v>Rule of Law (n=118; 11.05%)</c:v>
                </c:pt>
                <c:pt idx="3">
                  <c:v>Shoot to Kill (n=105; 9.83%)</c:v>
                </c:pt>
                <c:pt idx="4">
                  <c:v>Suspect Police/Judiciary (n=97; 9.08%)</c:v>
                </c:pt>
                <c:pt idx="5">
                  <c:v>Race Relations (n=93)</c:v>
                </c:pt>
                <c:pt idx="6">
                  <c:v>Wrongful Arrest (n=67; 6.27%)</c:v>
                </c:pt>
                <c:pt idx="7">
                  <c:v>Muslim Terrorist (n=44; 4.12%)</c:v>
                </c:pt>
                <c:pt idx="8">
                  <c:v>Multiculturalism (n=38; 3.56%)</c:v>
                </c:pt>
                <c:pt idx="9">
                  <c:v>IRA/Sinn Féin (n=35; 3.28%)</c:v>
                </c:pt>
                <c:pt idx="10">
                  <c:v>Islamophobia (n=33; 3.09%)</c:v>
                </c:pt>
                <c:pt idx="11">
                  <c:v>Non-suspect Muslim (n=30; 2.81%)</c:v>
                </c:pt>
                <c:pt idx="12">
                  <c:v>Religious Tolerance (n=27; 2.53%)</c:v>
                </c:pt>
                <c:pt idx="13">
                  <c:v>Fundamentalism (n=27; 2.53%)</c:v>
                </c:pt>
                <c:pt idx="14">
                  <c:v>Suspect Irish (n=26; 2.43%)</c:v>
                </c:pt>
                <c:pt idx="15">
                  <c:v>Non-suspect Irish (n=25; 2.34%)</c:v>
                </c:pt>
                <c:pt idx="16">
                  <c:v>Freedom of Speech (n=16; 1.5%)</c:v>
                </c:pt>
                <c:pt idx="17">
                  <c:v>Britishness (n=14; 1.31%)</c:v>
                </c:pt>
                <c:pt idx="18">
                  <c:v>Irishophobia (n=11; 1.03%)</c:v>
                </c:pt>
              </c:strCache>
            </c:strRef>
          </c:cat>
          <c:val>
            <c:numRef>
              <c:f>Sheet1!$B$3:$T$3</c:f>
              <c:numCache>
                <c:formatCode>General</c:formatCode>
                <c:ptCount val="19"/>
                <c:pt idx="0">
                  <c:v>19.0</c:v>
                </c:pt>
                <c:pt idx="1">
                  <c:v>35.0</c:v>
                </c:pt>
                <c:pt idx="2">
                  <c:v>34.0</c:v>
                </c:pt>
                <c:pt idx="3">
                  <c:v>18.0</c:v>
                </c:pt>
                <c:pt idx="4">
                  <c:v>22.0</c:v>
                </c:pt>
                <c:pt idx="5">
                  <c:v>19.0</c:v>
                </c:pt>
                <c:pt idx="6">
                  <c:v>17.0</c:v>
                </c:pt>
                <c:pt idx="7">
                  <c:v>9.0</c:v>
                </c:pt>
                <c:pt idx="8">
                  <c:v>13.0</c:v>
                </c:pt>
                <c:pt idx="9">
                  <c:v>10.0</c:v>
                </c:pt>
                <c:pt idx="10">
                  <c:v>2.0</c:v>
                </c:pt>
                <c:pt idx="11">
                  <c:v>3.0</c:v>
                </c:pt>
                <c:pt idx="12">
                  <c:v>2.0</c:v>
                </c:pt>
                <c:pt idx="13">
                  <c:v>2.0</c:v>
                </c:pt>
                <c:pt idx="14">
                  <c:v>4.0</c:v>
                </c:pt>
                <c:pt idx="15">
                  <c:v>3.0</c:v>
                </c:pt>
                <c:pt idx="16">
                  <c:v>1.0</c:v>
                </c:pt>
                <c:pt idx="17">
                  <c:v>3.0</c:v>
                </c:pt>
                <c:pt idx="18">
                  <c:v>2.0</c:v>
                </c:pt>
              </c:numCache>
            </c:numRef>
          </c:val>
        </c:ser>
        <c:ser>
          <c:idx val="2"/>
          <c:order val="2"/>
          <c:tx>
            <c:strRef>
              <c:f>Sheet1!$A$4</c:f>
              <c:strCache>
                <c:ptCount val="1"/>
                <c:pt idx="0">
                  <c:v>Guardian &amp; Observer (n=397)</c:v>
                </c:pt>
              </c:strCache>
            </c:strRef>
          </c:tx>
          <c:spPr>
            <a:solidFill>
              <a:srgbClr val="FFFFCC"/>
            </a:solidFill>
            <a:ln w="12674">
              <a:solidFill>
                <a:srgbClr val="000000"/>
              </a:solidFill>
              <a:prstDash val="solid"/>
            </a:ln>
          </c:spPr>
          <c:invertIfNegative val="0"/>
          <c:cat>
            <c:strRef>
              <c:f>Sheet1!$B$1:$T$1</c:f>
              <c:strCache>
                <c:ptCount val="19"/>
                <c:pt idx="0">
                  <c:v>Suspect Muslim (n=133; 12.45%)</c:v>
                </c:pt>
                <c:pt idx="1">
                  <c:v>Civil Liberties (n=129; 12.48%)</c:v>
                </c:pt>
                <c:pt idx="2">
                  <c:v>Rule of Law (n=118; 11.05%)</c:v>
                </c:pt>
                <c:pt idx="3">
                  <c:v>Shoot to Kill (n=105; 9.83%)</c:v>
                </c:pt>
                <c:pt idx="4">
                  <c:v>Suspect Police/Judiciary (n=97; 9.08%)</c:v>
                </c:pt>
                <c:pt idx="5">
                  <c:v>Race Relations (n=93)</c:v>
                </c:pt>
                <c:pt idx="6">
                  <c:v>Wrongful Arrest (n=67; 6.27%)</c:v>
                </c:pt>
                <c:pt idx="7">
                  <c:v>Muslim Terrorist (n=44; 4.12%)</c:v>
                </c:pt>
                <c:pt idx="8">
                  <c:v>Multiculturalism (n=38; 3.56%)</c:v>
                </c:pt>
                <c:pt idx="9">
                  <c:v>IRA/Sinn Féin (n=35; 3.28%)</c:v>
                </c:pt>
                <c:pt idx="10">
                  <c:v>Islamophobia (n=33; 3.09%)</c:v>
                </c:pt>
                <c:pt idx="11">
                  <c:v>Non-suspect Muslim (n=30; 2.81%)</c:v>
                </c:pt>
                <c:pt idx="12">
                  <c:v>Religious Tolerance (n=27; 2.53%)</c:v>
                </c:pt>
                <c:pt idx="13">
                  <c:v>Fundamentalism (n=27; 2.53%)</c:v>
                </c:pt>
                <c:pt idx="14">
                  <c:v>Suspect Irish (n=26; 2.43%)</c:v>
                </c:pt>
                <c:pt idx="15">
                  <c:v>Non-suspect Irish (n=25; 2.34%)</c:v>
                </c:pt>
                <c:pt idx="16">
                  <c:v>Freedom of Speech (n=16; 1.5%)</c:v>
                </c:pt>
                <c:pt idx="17">
                  <c:v>Britishness (n=14; 1.31%)</c:v>
                </c:pt>
                <c:pt idx="18">
                  <c:v>Irishophobia (n=11; 1.03%)</c:v>
                </c:pt>
              </c:strCache>
            </c:strRef>
          </c:cat>
          <c:val>
            <c:numRef>
              <c:f>Sheet1!$B$4:$T$4</c:f>
              <c:numCache>
                <c:formatCode>General</c:formatCode>
                <c:ptCount val="19"/>
                <c:pt idx="0">
                  <c:v>41.0</c:v>
                </c:pt>
                <c:pt idx="1">
                  <c:v>60.0</c:v>
                </c:pt>
                <c:pt idx="2">
                  <c:v>53.0</c:v>
                </c:pt>
                <c:pt idx="3">
                  <c:v>35.0</c:v>
                </c:pt>
                <c:pt idx="4">
                  <c:v>50.0</c:v>
                </c:pt>
                <c:pt idx="5">
                  <c:v>31.0</c:v>
                </c:pt>
                <c:pt idx="6">
                  <c:v>28.0</c:v>
                </c:pt>
                <c:pt idx="7">
                  <c:v>13.0</c:v>
                </c:pt>
                <c:pt idx="8">
                  <c:v>8.0</c:v>
                </c:pt>
                <c:pt idx="9">
                  <c:v>8.0</c:v>
                </c:pt>
                <c:pt idx="10">
                  <c:v>8.0</c:v>
                </c:pt>
                <c:pt idx="11">
                  <c:v>9.0</c:v>
                </c:pt>
                <c:pt idx="12">
                  <c:v>15.0</c:v>
                </c:pt>
                <c:pt idx="13">
                  <c:v>10.0</c:v>
                </c:pt>
                <c:pt idx="14">
                  <c:v>10.0</c:v>
                </c:pt>
                <c:pt idx="15">
                  <c:v>3.0</c:v>
                </c:pt>
                <c:pt idx="16">
                  <c:v>8.0</c:v>
                </c:pt>
                <c:pt idx="17">
                  <c:v>3.0</c:v>
                </c:pt>
                <c:pt idx="18">
                  <c:v>4.0</c:v>
                </c:pt>
              </c:numCache>
            </c:numRef>
          </c:val>
        </c:ser>
        <c:ser>
          <c:idx val="3"/>
          <c:order val="3"/>
          <c:tx>
            <c:strRef>
              <c:f>Sheet1!$A$5</c:f>
              <c:strCache>
                <c:ptCount val="1"/>
                <c:pt idx="0">
                  <c:v>Sun &amp; News of the World (n=155)</c:v>
                </c:pt>
              </c:strCache>
            </c:strRef>
          </c:tx>
          <c:spPr>
            <a:solidFill>
              <a:srgbClr val="CCFFFF"/>
            </a:solidFill>
            <a:ln w="12674">
              <a:solidFill>
                <a:srgbClr val="000000"/>
              </a:solidFill>
              <a:prstDash val="solid"/>
            </a:ln>
          </c:spPr>
          <c:invertIfNegative val="0"/>
          <c:cat>
            <c:strRef>
              <c:f>Sheet1!$B$1:$T$1</c:f>
              <c:strCache>
                <c:ptCount val="19"/>
                <c:pt idx="0">
                  <c:v>Suspect Muslim (n=133; 12.45%)</c:v>
                </c:pt>
                <c:pt idx="1">
                  <c:v>Civil Liberties (n=129; 12.48%)</c:v>
                </c:pt>
                <c:pt idx="2">
                  <c:v>Rule of Law (n=118; 11.05%)</c:v>
                </c:pt>
                <c:pt idx="3">
                  <c:v>Shoot to Kill (n=105; 9.83%)</c:v>
                </c:pt>
                <c:pt idx="4">
                  <c:v>Suspect Police/Judiciary (n=97; 9.08%)</c:v>
                </c:pt>
                <c:pt idx="5">
                  <c:v>Race Relations (n=93)</c:v>
                </c:pt>
                <c:pt idx="6">
                  <c:v>Wrongful Arrest (n=67; 6.27%)</c:v>
                </c:pt>
                <c:pt idx="7">
                  <c:v>Muslim Terrorist (n=44; 4.12%)</c:v>
                </c:pt>
                <c:pt idx="8">
                  <c:v>Multiculturalism (n=38; 3.56%)</c:v>
                </c:pt>
                <c:pt idx="9">
                  <c:v>IRA/Sinn Féin (n=35; 3.28%)</c:v>
                </c:pt>
                <c:pt idx="10">
                  <c:v>Islamophobia (n=33; 3.09%)</c:v>
                </c:pt>
                <c:pt idx="11">
                  <c:v>Non-suspect Muslim (n=30; 2.81%)</c:v>
                </c:pt>
                <c:pt idx="12">
                  <c:v>Religious Tolerance (n=27; 2.53%)</c:v>
                </c:pt>
                <c:pt idx="13">
                  <c:v>Fundamentalism (n=27; 2.53%)</c:v>
                </c:pt>
                <c:pt idx="14">
                  <c:v>Suspect Irish (n=26; 2.43%)</c:v>
                </c:pt>
                <c:pt idx="15">
                  <c:v>Non-suspect Irish (n=25; 2.34%)</c:v>
                </c:pt>
                <c:pt idx="16">
                  <c:v>Freedom of Speech (n=16; 1.5%)</c:v>
                </c:pt>
                <c:pt idx="17">
                  <c:v>Britishness (n=14; 1.31%)</c:v>
                </c:pt>
                <c:pt idx="18">
                  <c:v>Irishophobia (n=11; 1.03%)</c:v>
                </c:pt>
              </c:strCache>
            </c:strRef>
          </c:cat>
          <c:val>
            <c:numRef>
              <c:f>Sheet1!$B$5:$T$5</c:f>
              <c:numCache>
                <c:formatCode>General</c:formatCode>
                <c:ptCount val="19"/>
                <c:pt idx="0">
                  <c:v>28.0</c:v>
                </c:pt>
                <c:pt idx="1">
                  <c:v>12.0</c:v>
                </c:pt>
                <c:pt idx="2">
                  <c:v>13.0</c:v>
                </c:pt>
                <c:pt idx="3">
                  <c:v>20.0</c:v>
                </c:pt>
                <c:pt idx="4">
                  <c:v>5.0</c:v>
                </c:pt>
                <c:pt idx="5">
                  <c:v>12.0</c:v>
                </c:pt>
                <c:pt idx="7">
                  <c:v>10.0</c:v>
                </c:pt>
                <c:pt idx="8">
                  <c:v>6.0</c:v>
                </c:pt>
                <c:pt idx="9">
                  <c:v>11.0</c:v>
                </c:pt>
                <c:pt idx="10">
                  <c:v>3.0</c:v>
                </c:pt>
                <c:pt idx="11">
                  <c:v>8.0</c:v>
                </c:pt>
                <c:pt idx="12">
                  <c:v>5.0</c:v>
                </c:pt>
                <c:pt idx="13">
                  <c:v>6.0</c:v>
                </c:pt>
                <c:pt idx="14">
                  <c:v>4.0</c:v>
                </c:pt>
                <c:pt idx="15">
                  <c:v>3.0</c:v>
                </c:pt>
                <c:pt idx="16">
                  <c:v>3.0</c:v>
                </c:pt>
                <c:pt idx="17">
                  <c:v>4.0</c:v>
                </c:pt>
                <c:pt idx="18">
                  <c:v>2.0</c:v>
                </c:pt>
              </c:numCache>
            </c:numRef>
          </c:val>
        </c:ser>
        <c:ser>
          <c:idx val="4"/>
          <c:order val="4"/>
          <c:tx>
            <c:strRef>
              <c:f>Sheet1!$A$6</c:f>
              <c:strCache>
                <c:ptCount val="1"/>
                <c:pt idx="0">
                  <c:v>Asian Times (n=32)</c:v>
                </c:pt>
              </c:strCache>
            </c:strRef>
          </c:tx>
          <c:spPr>
            <a:solidFill>
              <a:srgbClr val="660066"/>
            </a:solidFill>
            <a:ln w="12674">
              <a:solidFill>
                <a:srgbClr val="000000"/>
              </a:solidFill>
              <a:prstDash val="solid"/>
            </a:ln>
          </c:spPr>
          <c:invertIfNegative val="0"/>
          <c:cat>
            <c:strRef>
              <c:f>Sheet1!$B$1:$T$1</c:f>
              <c:strCache>
                <c:ptCount val="19"/>
                <c:pt idx="0">
                  <c:v>Suspect Muslim (n=133; 12.45%)</c:v>
                </c:pt>
                <c:pt idx="1">
                  <c:v>Civil Liberties (n=129; 12.48%)</c:v>
                </c:pt>
                <c:pt idx="2">
                  <c:v>Rule of Law (n=118; 11.05%)</c:v>
                </c:pt>
                <c:pt idx="3">
                  <c:v>Shoot to Kill (n=105; 9.83%)</c:v>
                </c:pt>
                <c:pt idx="4">
                  <c:v>Suspect Police/Judiciary (n=97; 9.08%)</c:v>
                </c:pt>
                <c:pt idx="5">
                  <c:v>Race Relations (n=93)</c:v>
                </c:pt>
                <c:pt idx="6">
                  <c:v>Wrongful Arrest (n=67; 6.27%)</c:v>
                </c:pt>
                <c:pt idx="7">
                  <c:v>Muslim Terrorist (n=44; 4.12%)</c:v>
                </c:pt>
                <c:pt idx="8">
                  <c:v>Multiculturalism (n=38; 3.56%)</c:v>
                </c:pt>
                <c:pt idx="9">
                  <c:v>IRA/Sinn Féin (n=35; 3.28%)</c:v>
                </c:pt>
                <c:pt idx="10">
                  <c:v>Islamophobia (n=33; 3.09%)</c:v>
                </c:pt>
                <c:pt idx="11">
                  <c:v>Non-suspect Muslim (n=30; 2.81%)</c:v>
                </c:pt>
                <c:pt idx="12">
                  <c:v>Religious Tolerance (n=27; 2.53%)</c:v>
                </c:pt>
                <c:pt idx="13">
                  <c:v>Fundamentalism (n=27; 2.53%)</c:v>
                </c:pt>
                <c:pt idx="14">
                  <c:v>Suspect Irish (n=26; 2.43%)</c:v>
                </c:pt>
                <c:pt idx="15">
                  <c:v>Non-suspect Irish (n=25; 2.34%)</c:v>
                </c:pt>
                <c:pt idx="16">
                  <c:v>Freedom of Speech (n=16; 1.5%)</c:v>
                </c:pt>
                <c:pt idx="17">
                  <c:v>Britishness (n=14; 1.31%)</c:v>
                </c:pt>
                <c:pt idx="18">
                  <c:v>Irishophobia (n=11; 1.03%)</c:v>
                </c:pt>
              </c:strCache>
            </c:strRef>
          </c:cat>
          <c:val>
            <c:numRef>
              <c:f>Sheet1!$B$6:$T$6</c:f>
              <c:numCache>
                <c:formatCode>General</c:formatCode>
                <c:ptCount val="19"/>
                <c:pt idx="0">
                  <c:v>6.0</c:v>
                </c:pt>
                <c:pt idx="1">
                  <c:v>1.0</c:v>
                </c:pt>
                <c:pt idx="2">
                  <c:v>1.0</c:v>
                </c:pt>
                <c:pt idx="5">
                  <c:v>11.0</c:v>
                </c:pt>
                <c:pt idx="6">
                  <c:v>5.0</c:v>
                </c:pt>
                <c:pt idx="8">
                  <c:v>2.0</c:v>
                </c:pt>
                <c:pt idx="10">
                  <c:v>4.0</c:v>
                </c:pt>
                <c:pt idx="11">
                  <c:v>1.0</c:v>
                </c:pt>
                <c:pt idx="13">
                  <c:v>1.0</c:v>
                </c:pt>
              </c:numCache>
            </c:numRef>
          </c:val>
        </c:ser>
        <c:ser>
          <c:idx val="5"/>
          <c:order val="5"/>
          <c:tx>
            <c:strRef>
              <c:f>Sheet1!$A$7</c:f>
              <c:strCache>
                <c:ptCount val="1"/>
                <c:pt idx="0">
                  <c:v>Irish Post (n=41)</c:v>
                </c:pt>
              </c:strCache>
            </c:strRef>
          </c:tx>
          <c:spPr>
            <a:solidFill>
              <a:srgbClr val="FF8080"/>
            </a:solidFill>
            <a:ln w="12674">
              <a:solidFill>
                <a:srgbClr val="000000"/>
              </a:solidFill>
              <a:prstDash val="solid"/>
            </a:ln>
          </c:spPr>
          <c:invertIfNegative val="0"/>
          <c:cat>
            <c:strRef>
              <c:f>Sheet1!$B$1:$T$1</c:f>
              <c:strCache>
                <c:ptCount val="19"/>
                <c:pt idx="0">
                  <c:v>Suspect Muslim (n=133; 12.45%)</c:v>
                </c:pt>
                <c:pt idx="1">
                  <c:v>Civil Liberties (n=129; 12.48%)</c:v>
                </c:pt>
                <c:pt idx="2">
                  <c:v>Rule of Law (n=118; 11.05%)</c:v>
                </c:pt>
                <c:pt idx="3">
                  <c:v>Shoot to Kill (n=105; 9.83%)</c:v>
                </c:pt>
                <c:pt idx="4">
                  <c:v>Suspect Police/Judiciary (n=97; 9.08%)</c:v>
                </c:pt>
                <c:pt idx="5">
                  <c:v>Race Relations (n=93)</c:v>
                </c:pt>
                <c:pt idx="6">
                  <c:v>Wrongful Arrest (n=67; 6.27%)</c:v>
                </c:pt>
                <c:pt idx="7">
                  <c:v>Muslim Terrorist (n=44; 4.12%)</c:v>
                </c:pt>
                <c:pt idx="8">
                  <c:v>Multiculturalism (n=38; 3.56%)</c:v>
                </c:pt>
                <c:pt idx="9">
                  <c:v>IRA/Sinn Féin (n=35; 3.28%)</c:v>
                </c:pt>
                <c:pt idx="10">
                  <c:v>Islamophobia (n=33; 3.09%)</c:v>
                </c:pt>
                <c:pt idx="11">
                  <c:v>Non-suspect Muslim (n=30; 2.81%)</c:v>
                </c:pt>
                <c:pt idx="12">
                  <c:v>Religious Tolerance (n=27; 2.53%)</c:v>
                </c:pt>
                <c:pt idx="13">
                  <c:v>Fundamentalism (n=27; 2.53%)</c:v>
                </c:pt>
                <c:pt idx="14">
                  <c:v>Suspect Irish (n=26; 2.43%)</c:v>
                </c:pt>
                <c:pt idx="15">
                  <c:v>Non-suspect Irish (n=25; 2.34%)</c:v>
                </c:pt>
                <c:pt idx="16">
                  <c:v>Freedom of Speech (n=16; 1.5%)</c:v>
                </c:pt>
                <c:pt idx="17">
                  <c:v>Britishness (n=14; 1.31%)</c:v>
                </c:pt>
                <c:pt idx="18">
                  <c:v>Irishophobia (n=11; 1.03%)</c:v>
                </c:pt>
              </c:strCache>
            </c:strRef>
          </c:cat>
          <c:val>
            <c:numRef>
              <c:f>Sheet1!$B$7:$T$7</c:f>
              <c:numCache>
                <c:formatCode>General</c:formatCode>
                <c:ptCount val="19"/>
                <c:pt idx="0">
                  <c:v>1.0</c:v>
                </c:pt>
                <c:pt idx="2">
                  <c:v>3.0</c:v>
                </c:pt>
                <c:pt idx="3">
                  <c:v>1.0</c:v>
                </c:pt>
                <c:pt idx="4">
                  <c:v>6.0</c:v>
                </c:pt>
                <c:pt idx="6">
                  <c:v>12.0</c:v>
                </c:pt>
                <c:pt idx="9">
                  <c:v>1.0</c:v>
                </c:pt>
                <c:pt idx="12">
                  <c:v>1.0</c:v>
                </c:pt>
                <c:pt idx="14">
                  <c:v>4.0</c:v>
                </c:pt>
                <c:pt idx="15">
                  <c:v>12.0</c:v>
                </c:pt>
              </c:numCache>
            </c:numRef>
          </c:val>
        </c:ser>
        <c:ser>
          <c:idx val="6"/>
          <c:order val="6"/>
          <c:tx>
            <c:strRef>
              <c:f>Sheet1!$A$8</c:f>
              <c:strCache>
                <c:ptCount val="1"/>
                <c:pt idx="0">
                  <c:v>Mulsim News (n=43)</c:v>
                </c:pt>
              </c:strCache>
            </c:strRef>
          </c:tx>
          <c:spPr>
            <a:solidFill>
              <a:srgbClr val="0066CC"/>
            </a:solidFill>
            <a:ln w="12674">
              <a:solidFill>
                <a:srgbClr val="000000"/>
              </a:solidFill>
              <a:prstDash val="solid"/>
            </a:ln>
          </c:spPr>
          <c:invertIfNegative val="0"/>
          <c:cat>
            <c:strRef>
              <c:f>Sheet1!$B$1:$T$1</c:f>
              <c:strCache>
                <c:ptCount val="19"/>
                <c:pt idx="0">
                  <c:v>Suspect Muslim (n=133; 12.45%)</c:v>
                </c:pt>
                <c:pt idx="1">
                  <c:v>Civil Liberties (n=129; 12.48%)</c:v>
                </c:pt>
                <c:pt idx="2">
                  <c:v>Rule of Law (n=118; 11.05%)</c:v>
                </c:pt>
                <c:pt idx="3">
                  <c:v>Shoot to Kill (n=105; 9.83%)</c:v>
                </c:pt>
                <c:pt idx="4">
                  <c:v>Suspect Police/Judiciary (n=97; 9.08%)</c:v>
                </c:pt>
                <c:pt idx="5">
                  <c:v>Race Relations (n=93)</c:v>
                </c:pt>
                <c:pt idx="6">
                  <c:v>Wrongful Arrest (n=67; 6.27%)</c:v>
                </c:pt>
                <c:pt idx="7">
                  <c:v>Muslim Terrorist (n=44; 4.12%)</c:v>
                </c:pt>
                <c:pt idx="8">
                  <c:v>Multiculturalism (n=38; 3.56%)</c:v>
                </c:pt>
                <c:pt idx="9">
                  <c:v>IRA/Sinn Féin (n=35; 3.28%)</c:v>
                </c:pt>
                <c:pt idx="10">
                  <c:v>Islamophobia (n=33; 3.09%)</c:v>
                </c:pt>
                <c:pt idx="11">
                  <c:v>Non-suspect Muslim (n=30; 2.81%)</c:v>
                </c:pt>
                <c:pt idx="12">
                  <c:v>Religious Tolerance (n=27; 2.53%)</c:v>
                </c:pt>
                <c:pt idx="13">
                  <c:v>Fundamentalism (n=27; 2.53%)</c:v>
                </c:pt>
                <c:pt idx="14">
                  <c:v>Suspect Irish (n=26; 2.43%)</c:v>
                </c:pt>
                <c:pt idx="15">
                  <c:v>Non-suspect Irish (n=25; 2.34%)</c:v>
                </c:pt>
                <c:pt idx="16">
                  <c:v>Freedom of Speech (n=16; 1.5%)</c:v>
                </c:pt>
                <c:pt idx="17">
                  <c:v>Britishness (n=14; 1.31%)</c:v>
                </c:pt>
                <c:pt idx="18">
                  <c:v>Irishophobia (n=11; 1.03%)</c:v>
                </c:pt>
              </c:strCache>
            </c:strRef>
          </c:cat>
          <c:val>
            <c:numRef>
              <c:f>Sheet1!$B$8:$T$8</c:f>
              <c:numCache>
                <c:formatCode>General</c:formatCode>
                <c:ptCount val="19"/>
                <c:pt idx="0">
                  <c:v>5.0</c:v>
                </c:pt>
                <c:pt idx="1">
                  <c:v>3.0</c:v>
                </c:pt>
                <c:pt idx="4">
                  <c:v>2.0</c:v>
                </c:pt>
                <c:pt idx="5">
                  <c:v>7.0</c:v>
                </c:pt>
                <c:pt idx="7">
                  <c:v>3.0</c:v>
                </c:pt>
                <c:pt idx="8">
                  <c:v>1.0</c:v>
                </c:pt>
                <c:pt idx="10">
                  <c:v>15.0</c:v>
                </c:pt>
                <c:pt idx="11">
                  <c:v>4.0</c:v>
                </c:pt>
                <c:pt idx="13">
                  <c:v>2.0</c:v>
                </c:pt>
                <c:pt idx="16">
                  <c:v>1.0</c:v>
                </c:pt>
              </c:numCache>
            </c:numRef>
          </c:val>
        </c:ser>
        <c:dLbls>
          <c:showLegendKey val="0"/>
          <c:showVal val="0"/>
          <c:showCatName val="0"/>
          <c:showSerName val="0"/>
          <c:showPercent val="0"/>
          <c:showBubbleSize val="0"/>
        </c:dLbls>
        <c:gapWidth val="150"/>
        <c:overlap val="100"/>
        <c:axId val="2126741144"/>
        <c:axId val="2126744520"/>
      </c:barChart>
      <c:catAx>
        <c:axId val="2126741144"/>
        <c:scaling>
          <c:orientation val="minMax"/>
        </c:scaling>
        <c:delete val="0"/>
        <c:axPos val="b"/>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5400000" vert="horz"/>
          <a:lstStyle/>
          <a:p>
            <a:pPr>
              <a:defRPr sz="798" b="1" i="0" u="none" strike="noStrike" baseline="0">
                <a:solidFill>
                  <a:srgbClr val="000000"/>
                </a:solidFill>
                <a:latin typeface="Arial"/>
                <a:ea typeface="Arial"/>
                <a:cs typeface="Arial"/>
              </a:defRPr>
            </a:pPr>
            <a:endParaRPr lang="en-US"/>
          </a:p>
        </c:txPr>
        <c:crossAx val="2126744520"/>
        <c:crosses val="autoZero"/>
        <c:auto val="1"/>
        <c:lblAlgn val="ctr"/>
        <c:lblOffset val="100"/>
        <c:tickLblSkip val="1"/>
        <c:tickMarkSkip val="1"/>
        <c:noMultiLvlLbl val="0"/>
      </c:catAx>
      <c:valAx>
        <c:axId val="2126744520"/>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2126741144"/>
        <c:crosses val="autoZero"/>
        <c:crossBetween val="between"/>
      </c:valAx>
      <c:spPr>
        <a:solidFill>
          <a:srgbClr val="C0C0C0"/>
        </a:solidFill>
        <a:ln w="12674">
          <a:solidFill>
            <a:srgbClr val="808080"/>
          </a:solidFill>
          <a:prstDash val="solid"/>
        </a:ln>
      </c:spPr>
    </c:plotArea>
    <c:legend>
      <c:legendPos val="b"/>
      <c:layout>
        <c:manualLayout>
          <c:xMode val="edge"/>
          <c:yMode val="edge"/>
          <c:x val="0.154676258992806"/>
          <c:y val="0.822134387351779"/>
          <c:w val="0.7242206235012"/>
          <c:h val="0.171936758893281"/>
        </c:manualLayout>
      </c:layout>
      <c:overlay val="0"/>
      <c:spPr>
        <a:noFill/>
        <a:ln w="3169">
          <a:solidFill>
            <a:srgbClr val="000000"/>
          </a:solidFill>
          <a:prstDash val="solid"/>
        </a:ln>
      </c:spPr>
      <c:txPr>
        <a:bodyPr/>
        <a:lstStyle/>
        <a:p>
          <a:pPr>
            <a:defRPr sz="918"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222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E1AB-2108-D94E-9904-53CDE7D4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7057</Words>
  <Characters>40231</Characters>
  <Application>Microsoft Macintosh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This article examines the construction of Irish and Muslim communities in Britain as “suspect” in the British press between 1974 and 2007</vt:lpstr>
    </vt:vector>
  </TitlesOfParts>
  <Company/>
  <LinksUpToDate>false</LinksUpToDate>
  <CharactersWithSpaces>47194</CharactersWithSpaces>
  <SharedDoc>false</SharedDoc>
  <HLinks>
    <vt:vector size="60" baseType="variant">
      <vt:variant>
        <vt:i4>4456518</vt:i4>
      </vt:variant>
      <vt:variant>
        <vt:i4>27</vt:i4>
      </vt:variant>
      <vt:variant>
        <vt:i4>0</vt:i4>
      </vt:variant>
      <vt:variant>
        <vt:i4>5</vt:i4>
      </vt:variant>
      <vt:variant>
        <vt:lpwstr>http://fra.europa.eu/fraWebsite/attachments/MR-CH4-15-United-Kingdom.pdf</vt:lpwstr>
      </vt:variant>
      <vt:variant>
        <vt:lpwstr/>
      </vt:variant>
      <vt:variant>
        <vt:i4>5767183</vt:i4>
      </vt:variant>
      <vt:variant>
        <vt:i4>24</vt:i4>
      </vt:variant>
      <vt:variant>
        <vt:i4>0</vt:i4>
      </vt:variant>
      <vt:variant>
        <vt:i4>5</vt:i4>
      </vt:variant>
      <vt:variant>
        <vt:lpwstr>http://www.lrb.co.uk/v30/n07/gareth-peirce/was-it-like-this-for-the-irish</vt:lpwstr>
      </vt:variant>
      <vt:variant>
        <vt:lpwstr/>
      </vt:variant>
      <vt:variant>
        <vt:i4>2228329</vt:i4>
      </vt:variant>
      <vt:variant>
        <vt:i4>21</vt:i4>
      </vt:variant>
      <vt:variant>
        <vt:i4>0</vt:i4>
      </vt:variant>
      <vt:variant>
        <vt:i4>5</vt:i4>
      </vt:variant>
      <vt:variant>
        <vt:lpwstr>http://www.nrs.co.uk/top_line_readership</vt:lpwstr>
      </vt:variant>
      <vt:variant>
        <vt:lpwstr/>
      </vt:variant>
      <vt:variant>
        <vt:i4>7733268</vt:i4>
      </vt:variant>
      <vt:variant>
        <vt:i4>18</vt:i4>
      </vt:variant>
      <vt:variant>
        <vt:i4>0</vt:i4>
      </vt:variant>
      <vt:variant>
        <vt:i4>5</vt:i4>
      </vt:variant>
      <vt:variant>
        <vt:lpwstr>http://www.muslimnews.co.uk/index/section.php?page=about_us</vt:lpwstr>
      </vt:variant>
      <vt:variant>
        <vt:lpwstr/>
      </vt:variant>
      <vt:variant>
        <vt:i4>7077990</vt:i4>
      </vt:variant>
      <vt:variant>
        <vt:i4>15</vt:i4>
      </vt:variant>
      <vt:variant>
        <vt:i4>0</vt:i4>
      </vt:variant>
      <vt:variant>
        <vt:i4>5</vt:i4>
      </vt:variant>
      <vt:variant>
        <vt:lpwstr>http://www.cardiff.ac.uk/jomec/resources/08channel4-dispatches.pdf</vt:lpwstr>
      </vt:variant>
      <vt:variant>
        <vt:lpwstr/>
      </vt:variant>
      <vt:variant>
        <vt:i4>2031693</vt:i4>
      </vt:variant>
      <vt:variant>
        <vt:i4>12</vt:i4>
      </vt:variant>
      <vt:variant>
        <vt:i4>0</vt:i4>
      </vt:variant>
      <vt:variant>
        <vt:i4>5</vt:i4>
      </vt:variant>
      <vt:variant>
        <vt:lpwstr>http://www.pressgazette.co.uk/story.asp?storyCode=30330&amp;sectioncode=1</vt:lpwstr>
      </vt:variant>
      <vt:variant>
        <vt:lpwstr/>
      </vt:variant>
      <vt:variant>
        <vt:i4>2097210</vt:i4>
      </vt:variant>
      <vt:variant>
        <vt:i4>9</vt:i4>
      </vt:variant>
      <vt:variant>
        <vt:i4>0</vt:i4>
      </vt:variant>
      <vt:variant>
        <vt:i4>5</vt:i4>
      </vt:variant>
      <vt:variant>
        <vt:lpwstr>http://security.homeoffice.gov.uk/legislation/current-legislation/terrorism-act-2000/proscribed-groups</vt:lpwstr>
      </vt:variant>
      <vt:variant>
        <vt:lpwstr/>
      </vt:variant>
      <vt:variant>
        <vt:i4>2883641</vt:i4>
      </vt:variant>
      <vt:variant>
        <vt:i4>6</vt:i4>
      </vt:variant>
      <vt:variant>
        <vt:i4>0</vt:i4>
      </vt:variant>
      <vt:variant>
        <vt:i4>5</vt:i4>
      </vt:variant>
      <vt:variant>
        <vt:lpwstr>http://www.jrf.org.uk/sites/files/jrf/2230-deprivation-cohesion-immigration.pdf</vt:lpwstr>
      </vt:variant>
      <vt:variant>
        <vt:lpwstr/>
      </vt:variant>
      <vt:variant>
        <vt:i4>7274567</vt:i4>
      </vt:variant>
      <vt:variant>
        <vt:i4>3</vt:i4>
      </vt:variant>
      <vt:variant>
        <vt:i4>0</vt:i4>
      </vt:variant>
      <vt:variant>
        <vt:i4>5</vt:i4>
      </vt:variant>
      <vt:variant>
        <vt:lpwstr>http://www.libertysecurity.org/IMG/pdf_Challenge_Project_report.pdf</vt:lpwstr>
      </vt:variant>
      <vt:variant>
        <vt:lpwstr/>
      </vt:variant>
      <vt:variant>
        <vt:i4>1572957</vt:i4>
      </vt:variant>
      <vt:variant>
        <vt:i4>0</vt:i4>
      </vt:variant>
      <vt:variant>
        <vt:i4>0</vt:i4>
      </vt:variant>
      <vt:variant>
        <vt:i4>5</vt:i4>
      </vt:variant>
      <vt:variant>
        <vt:lpwstr>http://asia-major.com/Reviews/TRK/asianmedia.html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article examines the construction of Irish and Muslim communities in Britain as “suspect” in the British press between 1974 and 2007</dc:title>
  <dc:creator>Henri Nickels</dc:creator>
  <cp:lastModifiedBy>Sara Silvestri</cp:lastModifiedBy>
  <cp:revision>2</cp:revision>
  <dcterms:created xsi:type="dcterms:W3CDTF">2016-03-31T20:37:00Z</dcterms:created>
  <dcterms:modified xsi:type="dcterms:W3CDTF">2016-03-31T20:37:00Z</dcterms:modified>
</cp:coreProperties>
</file>