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1CA7" w14:textId="77777777" w:rsidR="001A56B9" w:rsidRPr="00D367C1" w:rsidRDefault="001908EC" w:rsidP="27C27199">
      <w:pPr>
        <w:pStyle w:val="Body"/>
        <w:suppressLineNumbers/>
        <w:spacing w:line="480" w:lineRule="auto"/>
        <w:jc w:val="center"/>
        <w:rPr>
          <w:rFonts w:ascii="Times New Roman,Cambria" w:eastAsia="Times New Roman,Cambria" w:hAnsi="Times New Roman,Cambria" w:cs="Times New Roman,Cambria"/>
          <w:b/>
          <w:bCs/>
          <w:sz w:val="28"/>
          <w:szCs w:val="28"/>
        </w:rPr>
      </w:pPr>
      <w:bookmarkStart w:id="0" w:name="_GoBack"/>
      <w:bookmarkEnd w:id="0"/>
      <w:r w:rsidRPr="002232EB">
        <w:rPr>
          <w:b/>
          <w:bCs/>
          <w:sz w:val="28"/>
          <w:szCs w:val="28"/>
        </w:rPr>
        <w:t>Preliminary evidence on</w:t>
      </w:r>
      <w:r w:rsidR="27C27199" w:rsidRPr="002232EB">
        <w:rPr>
          <w:b/>
          <w:bCs/>
          <w:sz w:val="28"/>
          <w:szCs w:val="28"/>
        </w:rPr>
        <w:t xml:space="preserve"> the Somatic Marker Hypothesis applied to investment choices</w:t>
      </w:r>
    </w:p>
    <w:p w14:paraId="600C10A0" w14:textId="77777777" w:rsidR="004168AB" w:rsidRDefault="004168AB" w:rsidP="004168AB">
      <w:pPr>
        <w:pStyle w:val="Body"/>
        <w:suppressLineNumbers/>
        <w:spacing w:line="480" w:lineRule="auto"/>
        <w:rPr>
          <w:rFonts w:ascii="Cambria" w:eastAsia="Cambria" w:hAnsi="Cambria" w:cs="Cambria"/>
        </w:rPr>
      </w:pPr>
    </w:p>
    <w:p w14:paraId="6099190F" w14:textId="77777777" w:rsidR="002A26BE" w:rsidRDefault="002A26BE" w:rsidP="004168AB">
      <w:pPr>
        <w:pStyle w:val="Body"/>
        <w:suppressLineNumbers/>
        <w:spacing w:line="480" w:lineRule="auto"/>
        <w:rPr>
          <w:rFonts w:ascii="Cambria" w:eastAsia="Cambria" w:hAnsi="Cambria" w:cs="Cambria"/>
        </w:rPr>
      </w:pPr>
      <w:r w:rsidRPr="002A26BE">
        <w:rPr>
          <w:rFonts w:ascii="Cambria" w:eastAsia="Cambria" w:hAnsi="Cambria" w:cs="Cambria"/>
        </w:rPr>
        <w:t xml:space="preserve">Simona Cantarella and Carola Hillenbrand University of Reading Luke Aldridge-Waddon University of Bath </w:t>
      </w:r>
    </w:p>
    <w:p w14:paraId="49E6C1C9" w14:textId="37B6933B" w:rsidR="00237913" w:rsidRDefault="002A26BE" w:rsidP="004168AB">
      <w:pPr>
        <w:pStyle w:val="Body"/>
        <w:suppressLineNumbers/>
        <w:spacing w:line="480" w:lineRule="auto"/>
        <w:rPr>
          <w:rFonts w:ascii="Cambria" w:eastAsia="Cambria" w:hAnsi="Cambria" w:cs="Cambria"/>
        </w:rPr>
      </w:pPr>
      <w:r w:rsidRPr="002A26BE">
        <w:rPr>
          <w:rFonts w:ascii="Cambria" w:eastAsia="Cambria" w:hAnsi="Cambria" w:cs="Cambria"/>
        </w:rPr>
        <w:t>Ignazio Puzzo City University of London</w:t>
      </w:r>
    </w:p>
    <w:p w14:paraId="34A518EE" w14:textId="77777777" w:rsidR="00237913" w:rsidRDefault="00237913" w:rsidP="004168AB">
      <w:pPr>
        <w:pStyle w:val="Body"/>
        <w:suppressLineNumbers/>
        <w:spacing w:line="480" w:lineRule="auto"/>
        <w:rPr>
          <w:rFonts w:ascii="Cambria" w:eastAsia="Cambria" w:hAnsi="Cambria" w:cs="Cambria"/>
        </w:rPr>
      </w:pPr>
    </w:p>
    <w:p w14:paraId="3CBA454B" w14:textId="77777777" w:rsidR="00237913" w:rsidRDefault="00237913" w:rsidP="004168AB">
      <w:pPr>
        <w:pStyle w:val="Body"/>
        <w:suppressLineNumbers/>
        <w:spacing w:line="480" w:lineRule="auto"/>
        <w:rPr>
          <w:rFonts w:ascii="Cambria" w:eastAsia="Cambria" w:hAnsi="Cambria" w:cs="Cambria"/>
        </w:rPr>
      </w:pPr>
    </w:p>
    <w:p w14:paraId="32076136" w14:textId="52D4D103" w:rsidR="00237913" w:rsidRDefault="002A26BE" w:rsidP="004168AB">
      <w:pPr>
        <w:pStyle w:val="Body"/>
        <w:suppressLineNumbers/>
        <w:spacing w:line="480" w:lineRule="auto"/>
        <w:rPr>
          <w:rFonts w:ascii="Cambria" w:eastAsia="Cambria" w:hAnsi="Cambria" w:cs="Cambria"/>
        </w:rPr>
      </w:pPr>
      <w:r>
        <w:rPr>
          <w:rFonts w:ascii="Cambria" w:eastAsia="Cambria" w:hAnsi="Cambria" w:cs="Cambria"/>
        </w:rPr>
        <w:t>Words count: 5058</w:t>
      </w:r>
    </w:p>
    <w:p w14:paraId="49633582" w14:textId="3028E7DC" w:rsidR="002A26BE" w:rsidRDefault="002A26BE" w:rsidP="004168AB">
      <w:pPr>
        <w:pStyle w:val="Body"/>
        <w:suppressLineNumbers/>
        <w:spacing w:line="480" w:lineRule="auto"/>
        <w:rPr>
          <w:rFonts w:ascii="Cambria" w:eastAsia="Cambria" w:hAnsi="Cambria" w:cs="Cambria"/>
        </w:rPr>
      </w:pPr>
      <w:r>
        <w:rPr>
          <w:rFonts w:ascii="Cambria" w:eastAsia="Cambria" w:hAnsi="Cambria" w:cs="Cambria"/>
        </w:rPr>
        <w:t>Figures: 5</w:t>
      </w:r>
    </w:p>
    <w:p w14:paraId="5F112798" w14:textId="68350DD7" w:rsidR="002A26BE" w:rsidRDefault="002A26BE" w:rsidP="004168AB">
      <w:pPr>
        <w:pStyle w:val="Body"/>
        <w:suppressLineNumbers/>
        <w:spacing w:line="480" w:lineRule="auto"/>
        <w:rPr>
          <w:rFonts w:ascii="Cambria" w:eastAsia="Cambria" w:hAnsi="Cambria" w:cs="Cambria"/>
        </w:rPr>
      </w:pPr>
      <w:r>
        <w:rPr>
          <w:rFonts w:ascii="Cambria" w:eastAsia="Cambria" w:hAnsi="Cambria" w:cs="Cambria"/>
        </w:rPr>
        <w:t>Tables: 1</w:t>
      </w:r>
    </w:p>
    <w:p w14:paraId="525A2B1E" w14:textId="5C789F03" w:rsidR="002A26BE" w:rsidRDefault="002A26BE" w:rsidP="004168AB">
      <w:pPr>
        <w:pStyle w:val="Body"/>
        <w:suppressLineNumbers/>
        <w:spacing w:line="480" w:lineRule="auto"/>
        <w:rPr>
          <w:rFonts w:ascii="Cambria" w:eastAsia="Cambria" w:hAnsi="Cambria" w:cs="Cambria"/>
        </w:rPr>
      </w:pPr>
      <w:r>
        <w:rPr>
          <w:rFonts w:ascii="Cambria" w:eastAsia="Cambria" w:hAnsi="Cambria" w:cs="Cambria"/>
        </w:rPr>
        <w:t>Manuscript accepted on the 06/08/2018</w:t>
      </w:r>
    </w:p>
    <w:p w14:paraId="32B2E55D" w14:textId="77777777" w:rsidR="002A26BE" w:rsidRDefault="002A26BE" w:rsidP="004168AB">
      <w:pPr>
        <w:pStyle w:val="Body"/>
        <w:suppressLineNumbers/>
        <w:spacing w:line="480" w:lineRule="auto"/>
        <w:rPr>
          <w:rFonts w:ascii="Cambria" w:eastAsia="Cambria" w:hAnsi="Cambria" w:cs="Cambria"/>
        </w:rPr>
      </w:pPr>
    </w:p>
    <w:p w14:paraId="6029296F" w14:textId="77777777" w:rsidR="00237913" w:rsidRDefault="00237913" w:rsidP="004168AB">
      <w:pPr>
        <w:pStyle w:val="Body"/>
        <w:suppressLineNumbers/>
        <w:spacing w:line="480" w:lineRule="auto"/>
        <w:rPr>
          <w:rFonts w:ascii="Cambria" w:eastAsia="Cambria" w:hAnsi="Cambria" w:cs="Cambria"/>
        </w:rPr>
      </w:pPr>
    </w:p>
    <w:p w14:paraId="262778D8" w14:textId="77777777" w:rsidR="00237913" w:rsidRDefault="00237913" w:rsidP="004168AB">
      <w:pPr>
        <w:pStyle w:val="Body"/>
        <w:suppressLineNumbers/>
        <w:spacing w:line="480" w:lineRule="auto"/>
        <w:rPr>
          <w:rFonts w:ascii="Cambria" w:eastAsia="Cambria" w:hAnsi="Cambria" w:cs="Cambria"/>
        </w:rPr>
      </w:pPr>
    </w:p>
    <w:p w14:paraId="5353B110" w14:textId="77777777" w:rsidR="00237913" w:rsidRDefault="00237913" w:rsidP="004168AB">
      <w:pPr>
        <w:pStyle w:val="Body"/>
        <w:suppressLineNumbers/>
        <w:spacing w:line="480" w:lineRule="auto"/>
        <w:rPr>
          <w:rFonts w:ascii="Cambria" w:eastAsia="Cambria" w:hAnsi="Cambria" w:cs="Cambria"/>
        </w:rPr>
      </w:pPr>
    </w:p>
    <w:p w14:paraId="4CBC8E4D" w14:textId="77777777" w:rsidR="00237913" w:rsidRDefault="00237913" w:rsidP="004168AB">
      <w:pPr>
        <w:pStyle w:val="Body"/>
        <w:suppressLineNumbers/>
        <w:spacing w:line="480" w:lineRule="auto"/>
        <w:rPr>
          <w:rFonts w:ascii="Cambria" w:eastAsia="Cambria" w:hAnsi="Cambria" w:cs="Cambria"/>
        </w:rPr>
      </w:pPr>
    </w:p>
    <w:p w14:paraId="78ABF17E" w14:textId="77777777" w:rsidR="00237913" w:rsidRDefault="00237913" w:rsidP="004168AB">
      <w:pPr>
        <w:pStyle w:val="Body"/>
        <w:suppressLineNumbers/>
        <w:spacing w:line="480" w:lineRule="auto"/>
        <w:rPr>
          <w:rFonts w:ascii="Cambria" w:eastAsia="Cambria" w:hAnsi="Cambria" w:cs="Cambria"/>
        </w:rPr>
      </w:pPr>
    </w:p>
    <w:p w14:paraId="775C6096" w14:textId="77777777" w:rsidR="00237913" w:rsidRDefault="00237913" w:rsidP="004168AB">
      <w:pPr>
        <w:pStyle w:val="Body"/>
        <w:suppressLineNumbers/>
        <w:spacing w:line="480" w:lineRule="auto"/>
        <w:rPr>
          <w:rFonts w:ascii="Cambria" w:eastAsia="Cambria" w:hAnsi="Cambria" w:cs="Cambria"/>
        </w:rPr>
      </w:pPr>
    </w:p>
    <w:p w14:paraId="2DF25766" w14:textId="77777777" w:rsidR="00237913" w:rsidRDefault="00237913" w:rsidP="004168AB">
      <w:pPr>
        <w:pStyle w:val="Body"/>
        <w:suppressLineNumbers/>
        <w:spacing w:line="480" w:lineRule="auto"/>
        <w:rPr>
          <w:rFonts w:ascii="Cambria" w:eastAsia="Cambria" w:hAnsi="Cambria" w:cs="Cambria"/>
        </w:rPr>
      </w:pPr>
    </w:p>
    <w:p w14:paraId="450FB61A" w14:textId="77777777" w:rsidR="00237913" w:rsidRDefault="00237913" w:rsidP="004168AB">
      <w:pPr>
        <w:pStyle w:val="Body"/>
        <w:suppressLineNumbers/>
        <w:spacing w:line="480" w:lineRule="auto"/>
        <w:rPr>
          <w:rFonts w:ascii="Cambria" w:eastAsia="Cambria" w:hAnsi="Cambria" w:cs="Cambria"/>
        </w:rPr>
      </w:pPr>
    </w:p>
    <w:p w14:paraId="06C9D951" w14:textId="77777777" w:rsidR="00237913" w:rsidRDefault="00237913" w:rsidP="004168AB">
      <w:pPr>
        <w:pStyle w:val="Body"/>
        <w:suppressLineNumbers/>
        <w:spacing w:line="480" w:lineRule="auto"/>
        <w:rPr>
          <w:rFonts w:ascii="Cambria" w:eastAsia="Cambria" w:hAnsi="Cambria" w:cs="Cambria"/>
        </w:rPr>
      </w:pPr>
    </w:p>
    <w:p w14:paraId="649543FC" w14:textId="77777777" w:rsidR="00237913" w:rsidRDefault="00237913" w:rsidP="004168AB">
      <w:pPr>
        <w:pStyle w:val="Body"/>
        <w:suppressLineNumbers/>
        <w:spacing w:line="480" w:lineRule="auto"/>
        <w:rPr>
          <w:rFonts w:ascii="Cambria" w:eastAsia="Cambria" w:hAnsi="Cambria" w:cs="Cambria"/>
        </w:rPr>
      </w:pPr>
    </w:p>
    <w:p w14:paraId="36D49819" w14:textId="42ADF9DB" w:rsidR="002232EB" w:rsidRDefault="002232EB">
      <w:pPr>
        <w:rPr>
          <w:rFonts w:ascii="Cambria" w:eastAsia="Cambria" w:hAnsi="Cambria" w:cs="Cambria"/>
          <w:b/>
          <w:bCs/>
          <w:color w:val="000000"/>
          <w:u w:color="000000"/>
          <w:lang w:eastAsia="en-GB"/>
        </w:rPr>
      </w:pPr>
    </w:p>
    <w:p w14:paraId="3FD9F40D" w14:textId="5FFAE29D" w:rsidR="00B32474" w:rsidRPr="003766F9" w:rsidRDefault="27C27199" w:rsidP="00097814">
      <w:pPr>
        <w:pStyle w:val="Body"/>
        <w:suppressLineNumbers/>
        <w:spacing w:line="480" w:lineRule="auto"/>
        <w:jc w:val="center"/>
      </w:pPr>
      <w:r w:rsidRPr="27C27199">
        <w:rPr>
          <w:rFonts w:ascii="Cambria" w:eastAsia="Cambria" w:hAnsi="Cambria" w:cs="Cambria"/>
          <w:b/>
          <w:bCs/>
        </w:rPr>
        <w:t>Abstract</w:t>
      </w:r>
    </w:p>
    <w:p w14:paraId="27746FAA" w14:textId="77777777" w:rsidR="00FF73F0" w:rsidRDefault="003A167C" w:rsidP="27C27199">
      <w:pPr>
        <w:pStyle w:val="Default"/>
        <w:suppressLineNumbers/>
        <w:spacing w:line="480" w:lineRule="auto"/>
        <w:rPr>
          <w:rFonts w:ascii="Times New Roman" w:eastAsia="Times New Roman" w:hAnsi="Times New Roman" w:cs="Times New Roman"/>
          <w:color w:val="auto"/>
          <w:sz w:val="24"/>
          <w:szCs w:val="24"/>
          <w:shd w:val="clear" w:color="auto" w:fill="FFFFFF"/>
        </w:rPr>
      </w:pPr>
      <w:r w:rsidRPr="27C27199">
        <w:rPr>
          <w:rFonts w:ascii="Times New Roman" w:eastAsia="Times New Roman" w:hAnsi="Times New Roman" w:cs="Times New Roman"/>
          <w:color w:val="auto"/>
          <w:sz w:val="24"/>
          <w:szCs w:val="24"/>
        </w:rPr>
        <w:t>T</w:t>
      </w:r>
      <w:r w:rsidRPr="27C27199">
        <w:rPr>
          <w:rFonts w:ascii="Times New Roman" w:eastAsia="Times New Roman" w:hAnsi="Times New Roman" w:cs="Times New Roman"/>
          <w:color w:val="auto"/>
          <w:sz w:val="24"/>
          <w:szCs w:val="24"/>
          <w:shd w:val="clear" w:color="auto" w:fill="FFFFFF"/>
        </w:rPr>
        <w:t>he somatic marker hypothesis (SMH) is one of the more dominant physiological models of human decision making and yet is seldom applied to decision making in financial investment scenarios. This study provides preliminary evidence about the application of the SMH in investment choices using heart rate (HR) and skin conductance response (SCRs) measures. Twenty undergraduate students were split equally into expert (defined by familiarity with investments) and novice (no familiarity) groups - previous research has associated expertise with cognitive differences in decision making scenarios. Both completed the BART and BIAS - a computerized simulation of real trading scenarios - tasks as assessments of investment decision making in conditions of low vs high uncertainty, as defined by the Bayesian Calculation (level of certainty is more than:(1 – (–300%)) / ((300% – (–300%)) = 66.67% (0.67). Results suggest that, whilst primary inducers (innate physiological responses) support and guide optimal decision making in conditions of uncertainty, secondary inducers (physiological responses dependent on memory/experience) moderate this effect i.e. the stressful thoughts that accompany the task restrict optimal decision making. This study contributes to the current knowledge on why emotions in finance can lead people to suboptimal decisions.</w:t>
      </w:r>
    </w:p>
    <w:p w14:paraId="159AECB6" w14:textId="77777777" w:rsidR="00313D0A" w:rsidRPr="003A167C" w:rsidRDefault="00313D0A" w:rsidP="27C27199">
      <w:pPr>
        <w:pStyle w:val="Default"/>
        <w:suppressLineNumbers/>
        <w:spacing w:line="480" w:lineRule="auto"/>
        <w:rPr>
          <w:rFonts w:ascii="Times New Roman" w:eastAsia="Times New Roman" w:hAnsi="Times New Roman" w:cs="Times New Roman"/>
          <w:color w:val="auto"/>
          <w:sz w:val="24"/>
          <w:szCs w:val="24"/>
        </w:rPr>
      </w:pPr>
    </w:p>
    <w:p w14:paraId="677E473F" w14:textId="7F595147" w:rsidR="00EB0171" w:rsidRDefault="27C27199" w:rsidP="27C27199">
      <w:pPr>
        <w:pStyle w:val="Default"/>
        <w:suppressLineNumbers/>
        <w:spacing w:line="480" w:lineRule="auto"/>
        <w:rPr>
          <w:rFonts w:ascii="Times New Roman" w:eastAsia="Times New Roman" w:hAnsi="Times New Roman" w:cs="Times New Roman"/>
          <w:sz w:val="24"/>
          <w:szCs w:val="24"/>
        </w:rPr>
      </w:pPr>
      <w:r w:rsidRPr="00313D0A">
        <w:rPr>
          <w:rFonts w:ascii="Times New Roman" w:eastAsia="Times New Roman" w:hAnsi="Times New Roman" w:cs="Times New Roman"/>
          <w:i/>
          <w:sz w:val="24"/>
          <w:szCs w:val="24"/>
        </w:rPr>
        <w:lastRenderedPageBreak/>
        <w:t>Keywords:</w:t>
      </w:r>
      <w:r w:rsidRPr="27C27199">
        <w:rPr>
          <w:rFonts w:ascii="Times New Roman" w:eastAsia="Times New Roman" w:hAnsi="Times New Roman" w:cs="Times New Roman"/>
          <w:sz w:val="24"/>
          <w:szCs w:val="24"/>
        </w:rPr>
        <w:t xml:space="preserve"> </w:t>
      </w:r>
      <w:r w:rsidR="00DE5607" w:rsidRPr="00DE5607">
        <w:rPr>
          <w:rFonts w:ascii="Times New Roman" w:eastAsia="Times New Roman" w:hAnsi="Times New Roman" w:cs="Times New Roman"/>
          <w:sz w:val="24"/>
          <w:szCs w:val="24"/>
        </w:rPr>
        <w:t>somatic marker hypothesis, Behavioral Investment Allocation Strategy, investment, heart rate, skin conductance</w:t>
      </w:r>
    </w:p>
    <w:p w14:paraId="7916EB99" w14:textId="77777777" w:rsidR="00313D0A" w:rsidRDefault="00313D0A" w:rsidP="27C27199">
      <w:pPr>
        <w:pStyle w:val="Default"/>
        <w:suppressLineNumbers/>
        <w:spacing w:line="480" w:lineRule="auto"/>
        <w:rPr>
          <w:rFonts w:ascii="Times New Roman" w:eastAsia="Times New Roman" w:hAnsi="Times New Roman" w:cs="Times New Roman"/>
          <w:sz w:val="24"/>
          <w:szCs w:val="24"/>
        </w:rPr>
      </w:pPr>
    </w:p>
    <w:p w14:paraId="72802BFA" w14:textId="77777777" w:rsidR="00A306E1" w:rsidRPr="00A306E1" w:rsidRDefault="27C27199" w:rsidP="27C27199">
      <w:pPr>
        <w:pStyle w:val="Default"/>
        <w:suppressLineNumbers/>
        <w:spacing w:line="480" w:lineRule="auto"/>
        <w:rPr>
          <w:rFonts w:ascii="Times New Roman" w:eastAsia="Times New Roman" w:hAnsi="Times New Roman" w:cs="Times New Roman"/>
          <w:b/>
          <w:bCs/>
          <w:sz w:val="24"/>
          <w:szCs w:val="24"/>
        </w:rPr>
      </w:pPr>
      <w:r w:rsidRPr="27C27199">
        <w:rPr>
          <w:rFonts w:ascii="Times New Roman" w:eastAsia="Times New Roman" w:hAnsi="Times New Roman" w:cs="Times New Roman"/>
          <w:b/>
          <w:bCs/>
          <w:sz w:val="24"/>
          <w:szCs w:val="24"/>
        </w:rPr>
        <w:t>Introduction</w:t>
      </w:r>
    </w:p>
    <w:p w14:paraId="3A240BD5" w14:textId="18E266AB" w:rsidR="0037450B" w:rsidRPr="00CB4F7E"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The relationship between somatic markers and emotions has been empirically illustrated by Damasio, Everitt and Bishop (1996), who developed the SMH. The SMH proposes that when we experience an emotion, before we can consciously process it, our brain triggers somatic markers, such as a raised heart rate (HR) and skin conductance response (SCR), that guide our choices under uncer</w:t>
      </w:r>
      <w:r w:rsidR="0008167F">
        <w:rPr>
          <w:rFonts w:ascii="Times New Roman" w:eastAsia="Times New Roman" w:hAnsi="Times New Roman" w:cs="Times New Roman"/>
          <w:sz w:val="24"/>
          <w:szCs w:val="24"/>
        </w:rPr>
        <w:t xml:space="preserve">tainty </w:t>
      </w:r>
      <w:r w:rsidR="0008167F">
        <w:rPr>
          <w:rFonts w:ascii="Times New Roman" w:eastAsia="Times New Roman" w:hAnsi="Times New Roman" w:cs="Times New Roman"/>
          <w:sz w:val="24"/>
          <w:szCs w:val="24"/>
        </w:rPr>
        <w:fldChar w:fldCharType="begin" w:fldLock="1"/>
      </w:r>
      <w:r w:rsidR="0008167F">
        <w:rPr>
          <w:rFonts w:ascii="Times New Roman" w:eastAsia="Times New Roman" w:hAnsi="Times New Roman" w:cs="Times New Roman"/>
          <w:sz w:val="24"/>
          <w:szCs w:val="24"/>
        </w:rPr>
        <w:instrText>ADDIN CSL_CITATION { "citationItems" : [ { "id" : "ITEM-1", "itemData" : { "DOI" : "10.1016/j.geb.2004.06.010", "ISBN" : "08998256", "author" : [ { "dropping-particle" : "", "family" : "Bechara", "given" : "A.", "non-dropping-particle" : "", "parse-names" : false, "suffix" : "" }, { "dropping-particle" : "", "family" : "Damasio", "given" : "A. R.", "non-dropping-particle" : "", "parse-names" : false, "suffix" : "" } ], "container-title" : "Games and Economic Behavior", "id" : "ITEM-1", "issue" : "2", "issued" : { "date-parts" : [ [ "2005" ] ] }, "page" : "336-372", "title" : "The somatic marker hypothesis: A neural theory of economic decision", "type" : "article-journal", "volume" : "52" }, "uris" : [ "http://www.mendeley.com/documents/?uuid=e4f37540-91e6-469b-ae77-d0a718d60bcb" ] } ], "mendeley" : { "formattedCitation" : "(A. Bechara &amp; Damasio, 2005)", "plainTextFormattedCitation" : "(A. Bechara &amp; Damasio, 2005)", "previouslyFormattedCitation" : "(A. Bechara &amp; Damasio, 2005)" }, "properties" : {  }, "schema" : "https://github.com/citation-style-language/schema/raw/master/csl-citation.json" }</w:instrText>
      </w:r>
      <w:r w:rsidR="0008167F">
        <w:rPr>
          <w:rFonts w:ascii="Times New Roman" w:eastAsia="Times New Roman" w:hAnsi="Times New Roman" w:cs="Times New Roman"/>
          <w:sz w:val="24"/>
          <w:szCs w:val="24"/>
        </w:rPr>
        <w:fldChar w:fldCharType="separate"/>
      </w:r>
      <w:r w:rsidR="0008167F" w:rsidRPr="0008167F">
        <w:rPr>
          <w:rFonts w:ascii="Times New Roman" w:eastAsia="Times New Roman" w:hAnsi="Times New Roman" w:cs="Times New Roman"/>
          <w:noProof/>
          <w:sz w:val="24"/>
          <w:szCs w:val="24"/>
        </w:rPr>
        <w:t>(A. Bechara &amp; Damasio, 2005)</w:t>
      </w:r>
      <w:r w:rsidR="0008167F">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The model is said to have an evolutionary foundation (Bechara &amp; Damasio, 2005) and, by guiding us towards optimal decisions when we are uncertain, has played a role in the survival of our species; helping us</w:t>
      </w:r>
      <w:r w:rsidR="009E5482">
        <w:rPr>
          <w:rFonts w:ascii="Times New Roman" w:eastAsia="Times New Roman" w:hAnsi="Times New Roman" w:cs="Times New Roman"/>
          <w:sz w:val="24"/>
          <w:szCs w:val="24"/>
        </w:rPr>
        <w:t xml:space="preserve"> to</w:t>
      </w:r>
      <w:r w:rsidRPr="27C27199">
        <w:rPr>
          <w:rFonts w:ascii="Times New Roman" w:eastAsia="Times New Roman" w:hAnsi="Times New Roman" w:cs="Times New Roman"/>
          <w:sz w:val="24"/>
          <w:szCs w:val="24"/>
        </w:rPr>
        <w:t xml:space="preserve"> anticipate reward and punishment, for exam</w:t>
      </w:r>
      <w:r w:rsidR="0008167F">
        <w:rPr>
          <w:rFonts w:ascii="Times New Roman" w:eastAsia="Times New Roman" w:hAnsi="Times New Roman" w:cs="Times New Roman"/>
          <w:sz w:val="24"/>
          <w:szCs w:val="24"/>
        </w:rPr>
        <w:t xml:space="preserve">ple </w:t>
      </w:r>
      <w:r w:rsidR="0008167F">
        <w:rPr>
          <w:rFonts w:ascii="Times New Roman" w:eastAsia="Times New Roman" w:hAnsi="Times New Roman" w:cs="Times New Roman"/>
          <w:sz w:val="24"/>
          <w:szCs w:val="24"/>
        </w:rPr>
        <w:fldChar w:fldCharType="begin" w:fldLock="1"/>
      </w:r>
      <w:r w:rsidR="0008167F">
        <w:rPr>
          <w:rFonts w:ascii="Times New Roman" w:eastAsia="Times New Roman" w:hAnsi="Times New Roman" w:cs="Times New Roman"/>
          <w:sz w:val="24"/>
          <w:szCs w:val="24"/>
        </w:rPr>
        <w:instrText>ADDIN CSL_CITATION { "citationItems" : [ { "id" : "ITEM-1", "itemData" : { "DOI" : "10.1126/science.275.5304.1293", "ISBN" : "0036-8075 (Print)\\n0036-8075 (Linking)", "ISSN" : "00368075", "PMID" : "9036851", "abstract" : "Deciding advantageously in a complex situation is thought to require overt reasoning on declarative knowledge, namely, on facts pertaining to premises, options for action, and outcomes of actions that embody the pertinent previous experience. An alternative possibility was investigated: that overt reasoning is preceded by a nonconscious biasing step that uses neural systems other than those that support declarative knowledge. Normal participants and patients with prefrontal damage and decision-making defects performed a gambling task in which behavioral, psychophysiological, and self-account measures were obtained in parallel. Normals began to choose advantageously before they realized which strategy worked best, whereas prefrontal patients continued to choose disadvantageously even after they knew the correct strategy. Moreover, normals began to generate anticipatory skin conductance responses (SCRs) whenever they pondered a choice that turned out to be risky, before they knew explicitly that it was a risky choice, whereas patients never developed anticipatory SCRs, although some eventually realized which choices were risky. The results suggest that, in normal individuals, nonconscious biases guide behavior before conscious knowledge does. Without the help of such biases, overt knowledge may be insufficient to ensure advantageous behavior.", "author" : [ { "dropping-particle" : "", "family" : "Bechara", "given" : "A", "non-dropping-particle" : "", "parse-names" : false, "suffix" : "" }, { "dropping-particle" : "", "family" : "Damasio", "given" : "H", "non-dropping-particle" : "", "parse-names" : false, "suffix" : "" }, { "dropping-particle" : "", "family" : "Tranel", "given" : "D", "non-dropping-particle" : "", "parse-names" : false, "suffix" : "" }, { "dropping-particle" : "", "family" : "Damasio", "given" : "A R", "non-dropping-particle" : "", "parse-names" : false, "suffix" : "" } ], "container-title" : "Science (New York, N.Y.)", "id" : "ITEM-1", "issue" : "5304", "issued" : { "date-parts" : [ [ "1997" ] ] }, "page" : "1293-1295", "title" : "Deciding advantageously before knowing the advantageous strategy.", "type" : "article-journal", "volume" : "275" }, "uris" : [ "http://www.mendeley.com/documents/?uuid=e778345a-84d0-46a3-861b-832a219b3571" ] } ], "mendeley" : { "formattedCitation" : "(A Bechara, Damasio, Tranel, &amp; Damasio, 1997)", "plainTextFormattedCitation" : "(A Bechara, Damasio, Tranel, &amp; Damasio, 1997)", "previouslyFormattedCitation" : "(A Bechara, Damasio, Tranel, &amp; Damasio, 1997)" }, "properties" : {  }, "schema" : "https://github.com/citation-style-language/schema/raw/master/csl-citation.json" }</w:instrText>
      </w:r>
      <w:r w:rsidR="0008167F">
        <w:rPr>
          <w:rFonts w:ascii="Times New Roman" w:eastAsia="Times New Roman" w:hAnsi="Times New Roman" w:cs="Times New Roman"/>
          <w:sz w:val="24"/>
          <w:szCs w:val="24"/>
        </w:rPr>
        <w:fldChar w:fldCharType="separate"/>
      </w:r>
      <w:r w:rsidR="0008167F" w:rsidRPr="0008167F">
        <w:rPr>
          <w:rFonts w:ascii="Times New Roman" w:eastAsia="Times New Roman" w:hAnsi="Times New Roman" w:cs="Times New Roman"/>
          <w:noProof/>
          <w:sz w:val="24"/>
          <w:szCs w:val="24"/>
        </w:rPr>
        <w:t>(A Bechara, Damasio, Tranel, &amp; Damasio, 1997)</w:t>
      </w:r>
      <w:r w:rsidR="0008167F">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The role of physiology in decision making is represented at neural levels also, with fMRI research finding that specific brain areas are associated with risk-seeking (nucleus accumbens) or risk-averse (anterior insula) behavio</w:t>
      </w:r>
      <w:r w:rsidR="008F08DD">
        <w:rPr>
          <w:rFonts w:ascii="Times New Roman" w:eastAsia="Times New Roman" w:hAnsi="Times New Roman" w:cs="Times New Roman"/>
          <w:sz w:val="24"/>
          <w:szCs w:val="24"/>
        </w:rPr>
        <w:t>u</w:t>
      </w:r>
      <w:r w:rsidR="0008167F">
        <w:rPr>
          <w:rFonts w:ascii="Times New Roman" w:eastAsia="Times New Roman" w:hAnsi="Times New Roman" w:cs="Times New Roman"/>
          <w:sz w:val="24"/>
          <w:szCs w:val="24"/>
        </w:rPr>
        <w:t xml:space="preserve">r </w:t>
      </w:r>
      <w:r w:rsidR="0008167F">
        <w:rPr>
          <w:rFonts w:ascii="Times New Roman" w:eastAsia="Times New Roman" w:hAnsi="Times New Roman" w:cs="Times New Roman"/>
          <w:sz w:val="24"/>
          <w:szCs w:val="24"/>
        </w:rPr>
        <w:fldChar w:fldCharType="begin" w:fldLock="1"/>
      </w:r>
      <w:r w:rsidR="0008167F">
        <w:rPr>
          <w:rFonts w:ascii="Times New Roman" w:eastAsia="Times New Roman" w:hAnsi="Times New Roman" w:cs="Times New Roman"/>
          <w:sz w:val="24"/>
          <w:szCs w:val="24"/>
        </w:rPr>
        <w:instrText>ADDIN CSL_CITATION { "citationItems" : [ { "id" : "ITEM-1", "itemData" : { "DOI" : "10.1016/j.neuron.2005.08.008", "ISBN" : "0896-6273 (Print)\r0896-6273 (Linking)", "PMID" : "16129404", "abstract" : "Investors systematically deviate from rationality when making financial decisions, yet the mechanisms responsible for these deviations have not been identified. Using event-related fMRI, we examined whether anticipatory neural activity would predict optimal and suboptimal choices in a financial decision-making task. We characterized two types of deviations from the optimal investment strategy of a rational risk-neutral agent as risk-seeking mistakes and risk-aversion mistakes. Nucleus accumbens activation preceded risky choices as well as risk-seeking mistakes, while anterior insula activation preceded riskless choices as well as risk-aversion mistakes. These findings suggest that distinct neural circuits linked to anticipatory affect promote different types of financial choices and indicate that excessive activation of these circuits may lead to investing mistakes. Thus, consideration of anticipatory neural mechanisms may add predictive power to the rational actor model of economic decision making.", "author" : [ { "dropping-particle" : "", "family" : "Kuhnen", "given" : "C M", "non-dropping-particle" : "", "parse-names" : false, "suffix" : "" }, { "dropping-particle" : "", "family" : "Knutson", "given" : "B", "non-dropping-particle" : "", "parse-names" : false, "suffix" : "" } ], "container-title" : "Neuron", "id" : "ITEM-1", "issue" : "5", "issued" : { "date-parts" : [ [ "2005" ] ] }, "note" : "Kuhnen, Camelia M\nKnutson, Brian\neng\nAG024957-02/AG/NIA NIH HHS/\nClinical Trial\nResearch Support, N.I.H., Extramural\nResearch Support, Non-U.S. Gov't\nResearch Support, U.S. Gov't, P.H.S.\n2005/09/01 09:00\nNeuron. 2005 Sep 1;47(5):763-70.", "page" : "763-770", "title" : "The neural basis of financial risk taking", "type" : "article-journal", "volume" : "47" }, "uris" : [ "http://www.mendeley.com/documents/?uuid=3903156c-6fae-427e-ae5d-cd8c4f8d05e2" ] } ], "mendeley" : { "formattedCitation" : "(Kuhnen &amp; Knutson, 2005)", "plainTextFormattedCitation" : "(Kuhnen &amp; Knutson, 2005)", "previouslyFormattedCitation" : "(Kuhnen &amp; Knutson, 2005)" }, "properties" : {  }, "schema" : "https://github.com/citation-style-language/schema/raw/master/csl-citation.json" }</w:instrText>
      </w:r>
      <w:r w:rsidR="0008167F">
        <w:rPr>
          <w:rFonts w:ascii="Times New Roman" w:eastAsia="Times New Roman" w:hAnsi="Times New Roman" w:cs="Times New Roman"/>
          <w:sz w:val="24"/>
          <w:szCs w:val="24"/>
        </w:rPr>
        <w:fldChar w:fldCharType="separate"/>
      </w:r>
      <w:r w:rsidR="0008167F" w:rsidRPr="0008167F">
        <w:rPr>
          <w:rFonts w:ascii="Times New Roman" w:eastAsia="Times New Roman" w:hAnsi="Times New Roman" w:cs="Times New Roman"/>
          <w:noProof/>
          <w:sz w:val="24"/>
          <w:szCs w:val="24"/>
        </w:rPr>
        <w:t>(Kuhnen &amp; Knutson, 2005)</w:t>
      </w:r>
      <w:r w:rsidR="0008167F">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and thus suggests that physiological and neural actions support us in optimal decision making. In terms of financial scenarios, somatic markers may facilitate optimal economic decisions that have the greatest financial reward. For example, SCRs guide typically developing individuals towards optimal financial </w:t>
      </w:r>
      <w:r w:rsidR="0008167F">
        <w:rPr>
          <w:rFonts w:ascii="Times New Roman" w:eastAsia="Times New Roman" w:hAnsi="Times New Roman" w:cs="Times New Roman"/>
          <w:sz w:val="24"/>
          <w:szCs w:val="24"/>
        </w:rPr>
        <w:t xml:space="preserve">rewards </w:t>
      </w:r>
      <w:r w:rsidR="0008167F">
        <w:rPr>
          <w:rFonts w:ascii="Times New Roman" w:eastAsia="Times New Roman" w:hAnsi="Times New Roman" w:cs="Times New Roman"/>
          <w:sz w:val="24"/>
          <w:szCs w:val="24"/>
        </w:rPr>
        <w:fldChar w:fldCharType="begin" w:fldLock="1"/>
      </w:r>
      <w:r w:rsidR="0008167F">
        <w:rPr>
          <w:rFonts w:ascii="Times New Roman" w:eastAsia="Times New Roman" w:hAnsi="Times New Roman" w:cs="Times New Roman"/>
          <w:sz w:val="24"/>
          <w:szCs w:val="24"/>
        </w:rPr>
        <w:instrText>ADDIN CSL_CITATION { "citationItems" : [ { "id" : "ITEM-1", "itemData" : { "DOI" : "10.1016/S0896-6273(04)00183-7", "ISSN" : "0896-6273", "abstract" : "While the striatum has been implicated in reward processing, an alternative view contends that the striatum processes salient events in general. Using fMRI, we investigated human striatal responses to monetary reward while modulating the saliency surrounding its receipt. Money was maximally salient when its receipt depended on a correct response (active) and minimally salient when its receipt was completely independent of the task (passive). The saliency manipulation was confirmed by skin conductance responses and subjective ratings of the stimuli. Significant caudate and nucleus accumbens activations occurred following the active compared to passive money. Such activations were attributed to saliency rather than the motor requirement associated with the active money because striatal activations were not observed when the money was replaced by inconsequential, nonrewarding stimuli. The present study provides evidence that the striatum's role in reward processing is dependent on the saliency associated with reward, rather than value or hedonic feelings.", "author" : [ { "dropping-particle" : "", "family" : "Zink", "given" : "Caroline F", "non-dropping-particle" : "", "parse-names" : false, "suffix" : "" }, { "dropping-particle" : "", "family" : "Pagnoni", "given" : "Giuseppe", "non-dropping-particle" : "", "parse-names" : false, "suffix" : "" }, { "dropping-particle" : "", "family" : "Martin-Skurski", "given" : "Megan E", "non-dropping-particle" : "", "parse-names" : false, "suffix" : "" }, { "dropping-particle" : "", "family" : "Chappelow", "given" : "Jonathan C", "non-dropping-particle" : "", "parse-names" : false, "suffix" : "" }, { "dropping-particle" : "", "family" : "Berns", "given" : "Gregory S", "non-dropping-particle" : "", "parse-names" : false, "suffix" : "" } ], "container-title" : "Neuron", "id" : "ITEM-1", "issue" : "3", "issued" : { "date-parts" : [ [ "2004", "5", "13" ] ] }, "page" : "509-517", "publisher" : "Cell Press", "title" : "Human Striatal Responses to Monetary Reward Depend On Saliency", "type" : "article-journal", "volume" : "42" }, "uris" : [ "http://www.mendeley.com/documents/?uuid=55fb7194-8ea1-339e-b85c-2126996e490e" ] } ], "mendeley" : { "formattedCitation" : "(Zink, Pagnoni, Martin-Skurski, Chappelow, &amp; Berns, 2004)", "plainTextFormattedCitation" : "(Zink, Pagnoni, Martin-Skurski, Chappelow, &amp; Berns, 2004)", "previouslyFormattedCitation" : "(Zink, Pagnoni, Martin-Skurski, Chappelow, &amp; Berns, 2004)" }, "properties" : {  }, "schema" : "https://github.com/citation-style-language/schema/raw/master/csl-citation.json" }</w:instrText>
      </w:r>
      <w:r w:rsidR="0008167F">
        <w:rPr>
          <w:rFonts w:ascii="Times New Roman" w:eastAsia="Times New Roman" w:hAnsi="Times New Roman" w:cs="Times New Roman"/>
          <w:sz w:val="24"/>
          <w:szCs w:val="24"/>
        </w:rPr>
        <w:fldChar w:fldCharType="separate"/>
      </w:r>
      <w:r w:rsidR="0008167F" w:rsidRPr="0008167F">
        <w:rPr>
          <w:rFonts w:ascii="Times New Roman" w:eastAsia="Times New Roman" w:hAnsi="Times New Roman" w:cs="Times New Roman"/>
          <w:noProof/>
          <w:sz w:val="24"/>
          <w:szCs w:val="24"/>
        </w:rPr>
        <w:t xml:space="preserve">(Zink, Pagnoni, Martin-Skurski, </w:t>
      </w:r>
      <w:r w:rsidR="0008167F" w:rsidRPr="0008167F">
        <w:rPr>
          <w:rFonts w:ascii="Times New Roman" w:eastAsia="Times New Roman" w:hAnsi="Times New Roman" w:cs="Times New Roman"/>
          <w:noProof/>
          <w:sz w:val="24"/>
          <w:szCs w:val="24"/>
        </w:rPr>
        <w:lastRenderedPageBreak/>
        <w:t>Chappelow, &amp; Berns, 2004)</w:t>
      </w:r>
      <w:r w:rsidR="0008167F">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Given that SCR and anterior insula responses are associated with both decision making and emotional processes, it suggests the presence of an emotional component within decision making. This emotional component might enhance or diminish the level of arousal and thus guide people towards optimal or suboptimal (too risk-seeking or too risk-averse) choice making. This is the essence of the SMH. </w:t>
      </w:r>
    </w:p>
    <w:p w14:paraId="13E6C785" w14:textId="77777777" w:rsidR="00A306E1" w:rsidRDefault="00A306E1" w:rsidP="00C420EE">
      <w:pPr>
        <w:pStyle w:val="Default"/>
        <w:suppressLineNumbers/>
        <w:spacing w:line="480" w:lineRule="auto"/>
        <w:rPr>
          <w:rFonts w:ascii="Times New Roman" w:eastAsia="Times New Roman" w:hAnsi="Times New Roman" w:cs="Times New Roman"/>
          <w:sz w:val="24"/>
          <w:szCs w:val="24"/>
        </w:rPr>
      </w:pPr>
    </w:p>
    <w:p w14:paraId="1780E454" w14:textId="48947748" w:rsidR="00B32474" w:rsidRPr="00783F13" w:rsidRDefault="00B32474"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The SMH posits that somatic markers can be triggered by two types of inducers: </w:t>
      </w:r>
      <w:r w:rsidRPr="27C27199">
        <w:rPr>
          <w:rFonts w:ascii="Times New Roman" w:eastAsia="Times New Roman" w:hAnsi="Times New Roman" w:cs="Times New Roman"/>
          <w:sz w:val="24"/>
          <w:szCs w:val="24"/>
          <w:lang w:val="de-DE"/>
        </w:rPr>
        <w:t>“</w:t>
      </w:r>
      <w:r w:rsidRPr="27C27199">
        <w:rPr>
          <w:rFonts w:ascii="Times New Roman" w:eastAsia="Times New Roman" w:hAnsi="Times New Roman" w:cs="Times New Roman"/>
          <w:sz w:val="24"/>
          <w:szCs w:val="24"/>
        </w:rPr>
        <w:t xml:space="preserve">primary” and </w:t>
      </w:r>
      <w:r w:rsidRPr="27C27199">
        <w:rPr>
          <w:rFonts w:ascii="Times New Roman" w:eastAsia="Times New Roman" w:hAnsi="Times New Roman" w:cs="Times New Roman"/>
          <w:sz w:val="24"/>
          <w:szCs w:val="24"/>
          <w:lang w:val="de-DE"/>
        </w:rPr>
        <w:t>“</w:t>
      </w:r>
      <w:r w:rsidRPr="27C27199">
        <w:rPr>
          <w:rFonts w:ascii="Times New Roman" w:eastAsia="Times New Roman" w:hAnsi="Times New Roman" w:cs="Times New Roman"/>
          <w:sz w:val="24"/>
          <w:szCs w:val="24"/>
        </w:rPr>
        <w:t xml:space="preserve">secondary” </w:t>
      </w:r>
      <w:r w:rsidR="0008167F">
        <w:rPr>
          <w:rFonts w:ascii="Times New Roman" w:eastAsia="Times New Roman" w:hAnsi="Times New Roman" w:cs="Times New Roman"/>
          <w:sz w:val="24"/>
          <w:szCs w:val="24"/>
        </w:rPr>
        <w:fldChar w:fldCharType="begin" w:fldLock="1"/>
      </w:r>
      <w:r w:rsidR="0008167F">
        <w:rPr>
          <w:rFonts w:ascii="Times New Roman" w:eastAsia="Times New Roman" w:hAnsi="Times New Roman" w:cs="Times New Roman"/>
          <w:sz w:val="24"/>
          <w:szCs w:val="24"/>
        </w:rPr>
        <w:instrText>ADDIN CSL_CITATION { "citationItems" : [ { "id" : "ITEM-1", "itemData" : { "DOI" : "10.1016/S0028-3932(02)00016-7", "ISBN" : "0028-3932 (Print)\\n0028-3932 (Linking)", "ISSN" : "0028-3932", "PMID" : "11992657", "abstract" : "On a decision-making instrument known as the \"gambling task\" (GT), a subgroup of substance dependent individuals (SDI) opted for choices that yield high immediate gains in spite of higher future losses. This resembles the behavior of patients with ventromedial (VM) prefrontal cortex lesions. In this study, we addressed the possibility that hypersensitivity to reward may account for the \"myopia\" for the future in this subgroup of SDI. We used a variant version of the GT, in which the good decks yielded high immediate punishment but higher delayed reward. The bad decks yielded low immediate punishment and lower delayed reward. We measured the skin conductance response (SCR) of subjects after receiving reward (reward SCR) and during their pondering from which deck to choose (anticipatory SCR). A subgroup of SDI who was not impaired on the original GT performed normally on the variant GT. The subgroup of SDI who was impaired on the original GT showed two levels of performance on the variant GT. One subgroup (36% of the sample) performed poorly on the variant GT, and showed similar behavioral and physiological impairments to VM patients. The other subgroup of SDI (64% of the sample) performed normally on the variant task, but had abnormally large physiological responses to reward, i.e. large SCR after receiving reward (reward SCR) and large SCR in anticipation of outcomes that yield large reward. Thus, the combined cognitive and physiological approach of assessing decision-making characterizes three sub-populations of SDI. One sub-population is without impairments that can be detected by any measure of the GT paradigm. Another sub-population is similar to VM patients in that they are insensitive to the future, both positive and negative. A third sub-population is hypersensitive to reward, so that the presence or the prospect of receiving, reward dominates their behavior.", "author" : [ { "dropping-particle" : "", "family" : "Bechara", "given" : "Antoine", "non-dropping-particle" : "", "parse-names" : false, "suffix" : "" }, { "dropping-particle" : "", "family" : "Dolan", "given" : "Sara", "non-dropping-particle" : "", "parse-names" : false, "suffix" : "" }, { "dropping-particle" : "", "family" : "Hindes", "given" : "Andrea", "non-dropping-particle" : "", "parse-names" : false, "suffix" : "" } ], "container-title" : "Neuropsychologia", "id" : "ITEM-1", "issue" : "10", "issued" : { "date-parts" : [ [ "2002" ] ] }, "page" : "1690-705", "title" : "Decision-making and addiction (part II): myopia for the future or hypersensitivity to reward?", "type" : "article-journal", "volume" : "40" }, "uris" : [ "http://www.mendeley.com/documents/?uuid=5ee1b5e5-2eb6-450f-8e13-7d484c553cc0" ] } ], "mendeley" : { "formattedCitation" : "(Antoine Bechara, Dolan, &amp; Hindes, 2002)", "manualFormatting" : "(Bechara, Dolan, &amp; Hindes, 2002)", "plainTextFormattedCitation" : "(Antoine Bechara, Dolan, &amp; Hindes, 2002)", "previouslyFormattedCitation" : "(Antoine Bechara, Dolan, &amp; Hindes, 2002)" }, "properties" : {  }, "schema" : "https://github.com/citation-style-language/schema/raw/master/csl-citation.json" }</w:instrText>
      </w:r>
      <w:r w:rsidR="0008167F">
        <w:rPr>
          <w:rFonts w:ascii="Times New Roman" w:eastAsia="Times New Roman" w:hAnsi="Times New Roman" w:cs="Times New Roman"/>
          <w:sz w:val="24"/>
          <w:szCs w:val="24"/>
        </w:rPr>
        <w:fldChar w:fldCharType="separate"/>
      </w:r>
      <w:r w:rsidR="0008167F">
        <w:rPr>
          <w:rFonts w:ascii="Times New Roman" w:eastAsia="Times New Roman" w:hAnsi="Times New Roman" w:cs="Times New Roman"/>
          <w:noProof/>
          <w:sz w:val="24"/>
          <w:szCs w:val="24"/>
        </w:rPr>
        <w:t>(</w:t>
      </w:r>
      <w:r w:rsidR="0008167F" w:rsidRPr="0008167F">
        <w:rPr>
          <w:rFonts w:ascii="Times New Roman" w:eastAsia="Times New Roman" w:hAnsi="Times New Roman" w:cs="Times New Roman"/>
          <w:noProof/>
          <w:sz w:val="24"/>
          <w:szCs w:val="24"/>
        </w:rPr>
        <w:t>Bechara, Dolan, &amp; Hindes, 2002)</w:t>
      </w:r>
      <w:r w:rsidR="0008167F">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Primary inducers are innate; such as p</w:t>
      </w:r>
      <w:r w:rsidR="00B55C49" w:rsidRPr="27C27199">
        <w:rPr>
          <w:rFonts w:ascii="Times New Roman" w:eastAsia="Times New Roman" w:hAnsi="Times New Roman" w:cs="Times New Roman"/>
          <w:sz w:val="24"/>
          <w:szCs w:val="24"/>
        </w:rPr>
        <w:t xml:space="preserve">hysiological arousal </w:t>
      </w:r>
      <w:r w:rsidR="004923E0" w:rsidRPr="27C27199">
        <w:rPr>
          <w:rFonts w:ascii="Times New Roman" w:eastAsia="Times New Roman" w:hAnsi="Times New Roman" w:cs="Times New Roman"/>
          <w:sz w:val="24"/>
          <w:szCs w:val="24"/>
        </w:rPr>
        <w:t>related to pleasure or aversive reactions</w:t>
      </w:r>
      <w:r w:rsidRPr="27C27199">
        <w:rPr>
          <w:rFonts w:ascii="Times New Roman" w:eastAsia="Times New Roman" w:hAnsi="Times New Roman" w:cs="Times New Roman"/>
          <w:sz w:val="24"/>
          <w:szCs w:val="24"/>
        </w:rPr>
        <w:t xml:space="preserve">. For example, when people make investment decisions, primary inducers are triggered as an innate reaction to market news. This contrasts with secondary inducers, </w:t>
      </w:r>
      <w:r w:rsidR="004923E0" w:rsidRPr="27C27199">
        <w:rPr>
          <w:rFonts w:ascii="Times New Roman" w:eastAsia="Times New Roman" w:hAnsi="Times New Roman" w:cs="Times New Roman"/>
          <w:sz w:val="24"/>
          <w:szCs w:val="24"/>
        </w:rPr>
        <w:t>triggered by the recall of emotional events</w:t>
      </w:r>
      <w:r w:rsidRPr="27C27199">
        <w:rPr>
          <w:rFonts w:ascii="Times New Roman" w:eastAsia="Times New Roman" w:hAnsi="Times New Roman" w:cs="Times New Roman"/>
          <w:sz w:val="24"/>
          <w:szCs w:val="24"/>
        </w:rPr>
        <w:t xml:space="preserve">, which </w:t>
      </w:r>
      <w:r w:rsidR="004923E0" w:rsidRPr="27C27199">
        <w:rPr>
          <w:rFonts w:ascii="Times New Roman" w:eastAsia="Times New Roman" w:hAnsi="Times New Roman" w:cs="Times New Roman"/>
          <w:sz w:val="24"/>
          <w:szCs w:val="24"/>
        </w:rPr>
        <w:t xml:space="preserve">then </w:t>
      </w:r>
      <w:r w:rsidRPr="27C27199">
        <w:rPr>
          <w:rFonts w:ascii="Times New Roman" w:eastAsia="Times New Roman" w:hAnsi="Times New Roman" w:cs="Times New Roman"/>
          <w:sz w:val="24"/>
          <w:szCs w:val="24"/>
        </w:rPr>
        <w:t xml:space="preserve">trigger reflective and considered, rather than impulsive </w:t>
      </w:r>
      <w:r w:rsidR="0008167F">
        <w:rPr>
          <w:rFonts w:ascii="Times New Roman" w:eastAsia="Times New Roman" w:hAnsi="Times New Roman" w:cs="Times New Roman"/>
          <w:sz w:val="24"/>
          <w:szCs w:val="24"/>
        </w:rPr>
        <w:fldChar w:fldCharType="begin" w:fldLock="1"/>
      </w:r>
      <w:r w:rsidR="0008167F">
        <w:rPr>
          <w:rFonts w:ascii="Times New Roman" w:eastAsia="Times New Roman" w:hAnsi="Times New Roman" w:cs="Times New Roman"/>
          <w:sz w:val="24"/>
          <w:szCs w:val="24"/>
        </w:rPr>
        <w:instrText>ADDIN CSL_CITATION { "citationItems" : [ { "id" : "ITEM-1", "itemData" : { "author" : [ { "dropping-particle" : "", "family" : "Loomes", "given" : "Graham", "non-dropping-particle" : "", "parse-names" : false, "suffix" : "" }, { "dropping-particle" : "", "family" : "Sugden", "given" : "Robert", "non-dropping-particle" : "", "parse-names" : false, "suffix" : "" } ], "container-title" : "The Economic Journal", "id" : "ITEM-1", "issued" : { "date-parts" : [ [ "1982" ] ] }, "page" : "805-824", "title" : "Regret Theory: An Alternative of Rational Choice Under Uncertainty", "type" : "article", "volume" : "92" }, "uris" : [ "http://www.mendeley.com/documents/?uuid=5ab5222b-b67c-4439-b914-cc9f60709ec6" ] } ], "mendeley" : { "formattedCitation" : "(Loomes &amp; Sugden, 1982)", "plainTextFormattedCitation" : "(Loomes &amp; Sugden, 1982)", "previouslyFormattedCitation" : "(Loomes &amp; Sugden, 1982)" }, "properties" : {  }, "schema" : "https://github.com/citation-style-language/schema/raw/master/csl-citation.json" }</w:instrText>
      </w:r>
      <w:r w:rsidR="0008167F">
        <w:rPr>
          <w:rFonts w:ascii="Times New Roman" w:eastAsia="Times New Roman" w:hAnsi="Times New Roman" w:cs="Times New Roman"/>
          <w:sz w:val="24"/>
          <w:szCs w:val="24"/>
        </w:rPr>
        <w:fldChar w:fldCharType="separate"/>
      </w:r>
      <w:r w:rsidR="0008167F" w:rsidRPr="0008167F">
        <w:rPr>
          <w:rFonts w:ascii="Times New Roman" w:eastAsia="Times New Roman" w:hAnsi="Times New Roman" w:cs="Times New Roman"/>
          <w:noProof/>
          <w:sz w:val="24"/>
          <w:szCs w:val="24"/>
        </w:rPr>
        <w:t>(Loomes &amp; Sugden, 1982)</w:t>
      </w:r>
      <w:r w:rsidR="0008167F">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w:t>
      </w:r>
      <w:r w:rsidR="004923E0" w:rsidRPr="27C27199">
        <w:rPr>
          <w:rFonts w:ascii="Times New Roman" w:eastAsia="Times New Roman" w:hAnsi="Times New Roman" w:cs="Times New Roman"/>
          <w:sz w:val="24"/>
          <w:szCs w:val="24"/>
        </w:rPr>
        <w:t>investment responses</w:t>
      </w:r>
      <w:r w:rsidRPr="27C27199">
        <w:rPr>
          <w:rFonts w:ascii="Times New Roman" w:eastAsia="Times New Roman" w:hAnsi="Times New Roman" w:cs="Times New Roman"/>
          <w:sz w:val="24"/>
          <w:szCs w:val="24"/>
        </w:rPr>
        <w:t xml:space="preserve"> (Bechara &amp; Damasio, 2005). </w:t>
      </w:r>
      <w:r w:rsidR="00783F13" w:rsidRPr="27C27199">
        <w:rPr>
          <w:rFonts w:ascii="Times New Roman" w:eastAsia="Times New Roman" w:hAnsi="Times New Roman" w:cs="Times New Roman"/>
          <w:sz w:val="24"/>
          <w:szCs w:val="24"/>
        </w:rPr>
        <w:t xml:space="preserve">This component of the SMH is similar to Affect Heuristic Theory in that it highlights the role of affective processes in decision making </w:t>
      </w:r>
      <w:r w:rsidR="00783F13" w:rsidRPr="27C27199">
        <w:fldChar w:fldCharType="begin" w:fldLock="1"/>
      </w:r>
      <w:r w:rsidR="00F14375">
        <w:rPr>
          <w:rFonts w:ascii="Times New Roman" w:hAnsi="Times New Roman" w:cs="Times New Roman"/>
          <w:color w:val="000000" w:themeColor="text1"/>
          <w:sz w:val="24"/>
          <w:szCs w:val="24"/>
        </w:rPr>
        <w:instrText>ADDIN CSL_CITATION { "citationItems" : [ { "id" : "ITEM-1", "itemData" : { "DOI" : "10.1016/j.ejor.2005.04.006", "ISBN" : "0377-2217", "ISSN" : "03772217", "PMID" : "23050069", "abstract" : "This paper introduces a theoretical framework that describes the importance of affect in guiding judgments and decisions. As used here, \"affect\" means the specific quality of \"goodness\" or \"badness\" (i) experienced as a feeling state (with or without consciousness) and (ii) demarcating a positive or negative quality of a stimulus. Affective responses occur rapidly and automatically-note how quickly you sense the feelings associated with the stimulus word \"treasure\" or the word \"hate\". We argue that reliance on such feelings can be characterized as \"the affect heuristic\". In this paper we trace the development of the affect heuristic across a variety of research paths followed by ourselves and many others. We also discuss some of the important practical implications resulting from ways that this heuristic impacts our daily lives. \u00a9 2002 Cambridge University Press.", "author" : [ { "dropping-particle" : "", "family" : "Slovic", "given" : "Paul", "non-dropping-particle" : "", "parse-names" : false, "suffix" : "" }, { "dropping-particle" : "", "family" : "Finucane", "given" : "Melissa L.", "non-dropping-particle" : "", "parse-names" : false, "suffix" : "" }, { "dropping-particle" : "", "family" : "Peters", "given" : "Ellen", "non-dropping-particle" : "", "parse-names" : false, "suffix" : "" }, { "dropping-particle" : "", "family" : "MacGregor", "given" : "Donald G.", "non-dropping-particle" : "", "parse-names" : false, "suffix" : "" } ], "container-title" : "European Journal of Operational Research", "id" : "ITEM-1", "issue" : "3", "issued" : { "date-parts" : [ [ "2007" ] ] }, "page" : "1333-1352", "title" : "The affect heuristic", "type" : "article-journal", "volume" : "177" }, "uris" : [ "http://www.mendeley.com/documents/?uuid=964683a5-3f2d-454f-a44b-5660493f2f0b" ] } ], "mendeley" : { "formattedCitation" : "(Slovic, Finucane, Peters, &amp; MacGregor, 2007)", "plainTextFormattedCitation" : "(Slovic, Finucane, Peters, &amp; MacGregor, 2007)", "previouslyFormattedCitation" : "(Slovic, Finucane, Peters, &amp; MacGregor, 2007)" }, "properties" : {  }, "schema" : "https://github.com/citation-style-language/schema/raw/master/csl-citation.json" }</w:instrText>
      </w:r>
      <w:r w:rsidR="00783F13" w:rsidRPr="27C27199">
        <w:rPr>
          <w:rFonts w:ascii="Times New Roman" w:hAnsi="Times New Roman" w:cs="Times New Roman"/>
          <w:color w:val="000000" w:themeColor="text1"/>
          <w:sz w:val="24"/>
          <w:szCs w:val="24"/>
        </w:rPr>
        <w:fldChar w:fldCharType="separate"/>
      </w:r>
      <w:r w:rsidR="00783F13" w:rsidRPr="27C27199">
        <w:rPr>
          <w:rFonts w:ascii="Times New Roman" w:eastAsia="Times New Roman" w:hAnsi="Times New Roman" w:cs="Times New Roman"/>
          <w:noProof/>
          <w:color w:val="000000" w:themeColor="text1"/>
          <w:sz w:val="24"/>
          <w:szCs w:val="24"/>
        </w:rPr>
        <w:t>(Slovic, Finucane, Peters, &amp; MacGregor, 2007)</w:t>
      </w:r>
      <w:r w:rsidR="00783F13" w:rsidRPr="27C27199">
        <w:fldChar w:fldCharType="end"/>
      </w:r>
      <w:r w:rsidR="00783F13" w:rsidRPr="27C27199">
        <w:rPr>
          <w:rFonts w:ascii="Times New Roman" w:eastAsia="Times New Roman" w:hAnsi="Times New Roman" w:cs="Times New Roman"/>
          <w:sz w:val="24"/>
          <w:szCs w:val="24"/>
        </w:rPr>
        <w:t xml:space="preserve">, and it may be that these affective responses facilitate optimal choice-making – particularly in conditions of high uncertainty. </w:t>
      </w:r>
    </w:p>
    <w:p w14:paraId="46C42808" w14:textId="77777777" w:rsidR="00B32474" w:rsidRDefault="00B32474" w:rsidP="00C420EE">
      <w:pPr>
        <w:pStyle w:val="Default"/>
        <w:suppressLineNumbers/>
        <w:spacing w:line="480" w:lineRule="auto"/>
        <w:rPr>
          <w:rFonts w:ascii="Times New Roman" w:hAnsi="Times New Roman"/>
          <w:sz w:val="24"/>
          <w:szCs w:val="24"/>
        </w:rPr>
      </w:pPr>
    </w:p>
    <w:p w14:paraId="6E40999D" w14:textId="431A243A" w:rsidR="00B32474"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lastRenderedPageBreak/>
        <w:t>This secondary inducer response is developed by the Appraisal-Tendency Framework (ATF)</w:t>
      </w:r>
      <w:r w:rsidR="00A4533B">
        <w:rPr>
          <w:rFonts w:ascii="Times New Roman" w:eastAsia="Times New Roman" w:hAnsi="Times New Roman" w:cs="Times New Roman"/>
          <w:sz w:val="24"/>
          <w:szCs w:val="24"/>
        </w:rPr>
        <w:t xml:space="preserve"> </w:t>
      </w:r>
      <w:r w:rsidR="00A4533B">
        <w:rPr>
          <w:rFonts w:ascii="Times New Roman" w:eastAsia="Times New Roman" w:hAnsi="Times New Roman" w:cs="Times New Roman"/>
          <w:sz w:val="24"/>
          <w:szCs w:val="24"/>
        </w:rPr>
        <w:fldChar w:fldCharType="begin" w:fldLock="1"/>
      </w:r>
      <w:r w:rsidR="002B44C8">
        <w:rPr>
          <w:rFonts w:ascii="Times New Roman" w:eastAsia="Times New Roman" w:hAnsi="Times New Roman" w:cs="Times New Roman"/>
          <w:sz w:val="24"/>
          <w:szCs w:val="24"/>
        </w:rPr>
        <w:instrText>ADDIN CSL_CITATION { "citationItems" : [ { "id" : "ITEM-1", "itemData" : { "author" : [ { "dropping-particle" : "", "family" : "Lerner", "given" : "Jennifer S", "non-dropping-particle" : "", "parse-names" : false, "suffix" : "" }, { "dropping-particle" : "", "family" : "Kelter", "given" : "Dacher", "non-dropping-particle" : "", "parse-names" : false, "suffix" : "" } ], "container-title" : "Cognition and Emotions", "id" : "ITEM-1", "issue" : "4", "issued" : { "date-parts" : [ [ "2000" ] ] }, "page" : "473-493", "title" : "Beyond valence: toward a model of emotion- specific influences on judgement and choice", "type" : "article-journal", "volume" : "14" }, "uris" : [ "http://www.mendeley.com/documents/?uuid=bf756f31-76ca-4ca5-b484-485dd8a69190" ] } ], "mendeley" : { "formattedCitation" : "(Jennifer S Lerner &amp; Kelter, 2000)", "plainTextFormattedCitation" : "(Jennifer S Lerner &amp; Kelter, 2000)", "previouslyFormattedCitation" : "(Jennifer S Lerner &amp; Kelter, 2000)" }, "properties" : {  }, "schema" : "https://github.com/citation-style-language/schema/raw/master/csl-citation.json" }</w:instrText>
      </w:r>
      <w:r w:rsidR="00A4533B">
        <w:rPr>
          <w:rFonts w:ascii="Times New Roman" w:eastAsia="Times New Roman" w:hAnsi="Times New Roman" w:cs="Times New Roman"/>
          <w:sz w:val="24"/>
          <w:szCs w:val="24"/>
        </w:rPr>
        <w:fldChar w:fldCharType="separate"/>
      </w:r>
      <w:r w:rsidR="002B44C8" w:rsidRPr="002B44C8">
        <w:rPr>
          <w:rFonts w:ascii="Times New Roman" w:eastAsia="Times New Roman" w:hAnsi="Times New Roman" w:cs="Times New Roman"/>
          <w:noProof/>
          <w:sz w:val="24"/>
          <w:szCs w:val="24"/>
        </w:rPr>
        <w:t>(Jennifer S Lerner &amp; Kelter, 2000)</w:t>
      </w:r>
      <w:r w:rsidR="00A4533B">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which captures the importance of emotions in decision making – that is subjective experiences that are relevant to present judgments</w:t>
      </w:r>
      <w:r w:rsidR="00A4533B">
        <w:rPr>
          <w:rFonts w:ascii="Times New Roman" w:eastAsia="Times New Roman" w:hAnsi="Times New Roman" w:cs="Times New Roman"/>
          <w:sz w:val="24"/>
          <w:szCs w:val="24"/>
        </w:rPr>
        <w:t xml:space="preserve"> </w:t>
      </w:r>
      <w:r w:rsidR="00A4533B">
        <w:rPr>
          <w:rFonts w:ascii="Times New Roman" w:eastAsia="Times New Roman" w:hAnsi="Times New Roman" w:cs="Times New Roman"/>
          <w:sz w:val="24"/>
          <w:szCs w:val="24"/>
        </w:rPr>
        <w:fldChar w:fldCharType="begin" w:fldLock="1"/>
      </w:r>
      <w:r w:rsidR="00A4533B">
        <w:rPr>
          <w:rFonts w:ascii="Times New Roman" w:eastAsia="Times New Roman" w:hAnsi="Times New Roman" w:cs="Times New Roman"/>
          <w:sz w:val="24"/>
          <w:szCs w:val="24"/>
        </w:rPr>
        <w:instrText>ADDIN CSL_CITATION { "citationItems" : [ { "id" : "ITEM-1", "itemData" : { "DOI" : "10.1126/science.1125877", "ISBN" : "4122686938", "author" : [ { "dropping-particle" : "", "family" : "Han", "given" : "Seunghee", "non-dropping-particle" : "", "parse-names" : false, "suffix" : "" }, { "dropping-particle" : "", "family" : "Lerner", "given" : "Jennifer", "non-dropping-particle" : "", "parse-names" : false, "suffix" : "" }, { "dropping-particle" : "", "family" : "Keltner", "given" : "Dacher", "non-dropping-particle" : "", "parse-names" : false, "suffix" : "" } ], "container-title" : "Journal of Consumer Psychology", "id" : "ITEM-1", "issue" : "3", "issued" : { "date-parts" : [ [ "2006" ] ] }, "number-of-pages" : "158-168", "title" : "Feelings and consumer decision making: The appraisal-tendency framework", "type" : "book", "volume" : "17" }, "uris" : [ "http://www.mendeley.com/documents/?uuid=90f0a53d-9862-49e4-9514-de148877d6da" ] } ], "mendeley" : { "formattedCitation" : "(Han, Lerner, &amp; Keltner, 2006)", "plainTextFormattedCitation" : "(Han, Lerner, &amp; Keltner, 2006)", "previouslyFormattedCitation" : "(Han, Lerner, &amp; Keltner, 2006)" }, "properties" : {  }, "schema" : "https://github.com/citation-style-language/schema/raw/master/csl-citation.json" }</w:instrText>
      </w:r>
      <w:r w:rsidR="00A4533B">
        <w:rPr>
          <w:rFonts w:ascii="Times New Roman" w:eastAsia="Times New Roman" w:hAnsi="Times New Roman" w:cs="Times New Roman"/>
          <w:sz w:val="24"/>
          <w:szCs w:val="24"/>
        </w:rPr>
        <w:fldChar w:fldCharType="separate"/>
      </w:r>
      <w:r w:rsidR="00A4533B" w:rsidRPr="00A4533B">
        <w:rPr>
          <w:rFonts w:ascii="Times New Roman" w:eastAsia="Times New Roman" w:hAnsi="Times New Roman" w:cs="Times New Roman"/>
          <w:noProof/>
          <w:sz w:val="24"/>
          <w:szCs w:val="24"/>
        </w:rPr>
        <w:t>(Han, Lerner, &amp; Keltner, 2006)</w:t>
      </w:r>
      <w:r w:rsidR="00A4533B">
        <w:rPr>
          <w:rFonts w:ascii="Times New Roman" w:eastAsia="Times New Roman" w:hAnsi="Times New Roman" w:cs="Times New Roman"/>
          <w:sz w:val="24"/>
          <w:szCs w:val="24"/>
        </w:rPr>
        <w:fldChar w:fldCharType="end"/>
      </w:r>
      <w:r w:rsidR="00A4533B">
        <w:rPr>
          <w:rFonts w:ascii="Times New Roman" w:eastAsia="Times New Roman" w:hAnsi="Times New Roman" w:cs="Times New Roman"/>
          <w:sz w:val="24"/>
          <w:szCs w:val="24"/>
        </w:rPr>
        <w:t xml:space="preserve">. For example, </w:t>
      </w:r>
      <w:r w:rsidR="00A4533B">
        <w:rPr>
          <w:rFonts w:ascii="Times New Roman" w:eastAsia="Times New Roman" w:hAnsi="Times New Roman" w:cs="Times New Roman"/>
          <w:sz w:val="24"/>
          <w:szCs w:val="24"/>
        </w:rPr>
        <w:fldChar w:fldCharType="begin" w:fldLock="1"/>
      </w:r>
      <w:r w:rsidR="002B44C8">
        <w:rPr>
          <w:rFonts w:ascii="Times New Roman" w:eastAsia="Times New Roman" w:hAnsi="Times New Roman" w:cs="Times New Roman"/>
          <w:sz w:val="24"/>
          <w:szCs w:val="24"/>
        </w:rPr>
        <w:instrText>ADDIN CSL_CITATION { "citationItems" : [ { "id" : "ITEM-1", "itemData" : { "DOI" : "10.1111/1467-9280.01433", "ISBN" : "0956-7976 (Print)", "ISSN" : "09567976", "PMID" : "12661676", "abstract" : "The aftermath of September 11th highlights the need to understand how emotion affects citizens' responses to risk. It also provides an opportunity to test current theories of such effects. On the basis of appraisal-tendency theory, we predicted opposite effects for anger and fear on risk judgments and policy preferences. In a nationally representative sample of Americans (N = 973, ages 13-88) fear increased risk estimates and plans for precautionary measures; anger did the opposite. These patterns emerged with both experimentally induced emotions and naturally occurring ones. Males had less pessimistic risk estimates than did females, emotion differences explaining 60 to 80% of the gender difference. Emotions also predicted diverging public policy preferences. Discussion focuses on theoretical, methodological, and policy implications.", "author" : [ { "dropping-particle" : "", "family" : "Lerner", "given" : "Jennifer S.", "non-dropping-particle" : "", "parse-names" : false, "suffix" : "" }, { "dropping-particle" : "", "family" : "Gonzalez", "given" : "Roxana M.", "non-dropping-particle" : "", "parse-names" : false, "suffix" : "" }, { "dropping-particle" : "", "family" : "Small", "given" : "Deborah a.", "non-dropping-particle" : "", "parse-names" : false, "suffix" : "" }, { "dropping-particle" : "", "family" : "Fischhoff", "given" : "Baruch", "non-dropping-particle" : "", "parse-names" : false, "suffix" : "" } ], "container-title" : "Psychological Science", "id" : "ITEM-1", "issue" : "2", "issued" : { "date-parts" : [ [ "2003" ] ] }, "page" : "144-150", "title" : "Effects of fear and anger on perceived risks of terrorism: A national field experiment", "type" : "article-journal", "volume" : "14" }, "uris" : [ "http://www.mendeley.com/documents/?uuid=ec063a5e-80ee-49a4-95c6-2f6d5602e022" ] } ], "mendeley" : { "formattedCitation" : "(Jennifer S. Lerner, Gonzalez, Small, &amp; Fischhoff, 2003)", "manualFormatting" : "Lerner, Gonzalez, Small, &amp; Fischhoff, (2003)", "plainTextFormattedCitation" : "(Jennifer S. Lerner, Gonzalez, Small, &amp; Fischhoff, 2003)", "previouslyFormattedCitation" : "(Jennifer S. Lerner, Gonzalez, Small, &amp; Fischhoff, 2003)" }, "properties" : {  }, "schema" : "https://github.com/citation-style-language/schema/raw/master/csl-citation.json" }</w:instrText>
      </w:r>
      <w:r w:rsidR="00A4533B">
        <w:rPr>
          <w:rFonts w:ascii="Times New Roman" w:eastAsia="Times New Roman" w:hAnsi="Times New Roman" w:cs="Times New Roman"/>
          <w:sz w:val="24"/>
          <w:szCs w:val="24"/>
        </w:rPr>
        <w:fldChar w:fldCharType="separate"/>
      </w:r>
      <w:r w:rsidR="00A4533B" w:rsidRPr="00A4533B">
        <w:rPr>
          <w:rFonts w:ascii="Times New Roman" w:eastAsia="Times New Roman" w:hAnsi="Times New Roman" w:cs="Times New Roman"/>
          <w:noProof/>
          <w:sz w:val="24"/>
          <w:szCs w:val="24"/>
        </w:rPr>
        <w:t xml:space="preserve">Lerner, Gonzalez, Small, &amp; Fischhoff, </w:t>
      </w:r>
      <w:r w:rsidR="00A4533B">
        <w:rPr>
          <w:rFonts w:ascii="Times New Roman" w:eastAsia="Times New Roman" w:hAnsi="Times New Roman" w:cs="Times New Roman"/>
          <w:noProof/>
          <w:sz w:val="24"/>
          <w:szCs w:val="24"/>
        </w:rPr>
        <w:t>(</w:t>
      </w:r>
      <w:r w:rsidR="00A4533B" w:rsidRPr="00A4533B">
        <w:rPr>
          <w:rFonts w:ascii="Times New Roman" w:eastAsia="Times New Roman" w:hAnsi="Times New Roman" w:cs="Times New Roman"/>
          <w:noProof/>
          <w:sz w:val="24"/>
          <w:szCs w:val="24"/>
        </w:rPr>
        <w:t>2003)</w:t>
      </w:r>
      <w:r w:rsidR="00A4533B">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found that experimentally induced fear of terrorism significantly increased risk estimation regarding likelihood of further attacks. In essence, the ATF proposes that decisions are influenced more by secondary inducers (our feelings and evaluations during the decision making process e.g. at the prospect of facing the complexity) rather than primary inducers (our innate and initial emotional and physiological responses) </w:t>
      </w:r>
      <w:r w:rsidR="00A4533B">
        <w:rPr>
          <w:rFonts w:ascii="Times New Roman" w:eastAsia="Times New Roman" w:hAnsi="Times New Roman" w:cs="Times New Roman"/>
          <w:sz w:val="24"/>
          <w:szCs w:val="24"/>
        </w:rPr>
        <w:fldChar w:fldCharType="begin" w:fldLock="1"/>
      </w:r>
      <w:r w:rsidR="00A4533B">
        <w:rPr>
          <w:rFonts w:ascii="Times New Roman" w:eastAsia="Times New Roman" w:hAnsi="Times New Roman" w:cs="Times New Roman"/>
          <w:sz w:val="24"/>
          <w:szCs w:val="24"/>
        </w:rPr>
        <w:instrText>ADDIN CSL_CITATION { "citationItems" : [ { "id" : "ITEM-1", "itemData" : { "author" : [ { "dropping-particle" : "", "family" : "Loewenstein", "given" : "G", "non-dropping-particle" : "", "parse-names" : false, "suffix" : "" }, { "dropping-particle" : "", "family" : "Hsee", "given" : "Christopher K.", "non-dropping-particle" : "", "parse-names" : false, "suffix" : "" }, { "dropping-particle" : "", "family" : "Weber", "given" : "Elke U", "non-dropping-particle" : "", "parse-names" : false, "suffix" : "" }, { "dropping-particle" : "", "family" : "Welch", "given" : "Ned", "non-dropping-particle" : "", "parse-names" : false, "suffix" : "" } ], "container-title" : "Psychological Bulletin", "id" : "ITEM-1", "issue" : "2", "issued" : { "date-parts" : [ [ "2001" ] ] }, "page" : "267-286", "title" : "Risk as feelings", "type" : "article-journal", "volume" : "127" }, "uris" : [ "http://www.mendeley.com/documents/?uuid=1787be53-45a7-4662-af67-cef6ba8f17b8" ] } ], "mendeley" : { "formattedCitation" : "(Loewenstein, Hsee, Weber, &amp; Welch, 2001)", "plainTextFormattedCitation" : "(Loewenstein, Hsee, Weber, &amp; Welch, 2001)", "previouslyFormattedCitation" : "(Loewenstein, Hsee, Weber, &amp; Welch, 2001)" }, "properties" : {  }, "schema" : "https://github.com/citation-style-language/schema/raw/master/csl-citation.json" }</w:instrText>
      </w:r>
      <w:r w:rsidR="00A4533B">
        <w:rPr>
          <w:rFonts w:ascii="Times New Roman" w:eastAsia="Times New Roman" w:hAnsi="Times New Roman" w:cs="Times New Roman"/>
          <w:sz w:val="24"/>
          <w:szCs w:val="24"/>
        </w:rPr>
        <w:fldChar w:fldCharType="separate"/>
      </w:r>
      <w:r w:rsidR="00A4533B" w:rsidRPr="00A4533B">
        <w:rPr>
          <w:rFonts w:ascii="Times New Roman" w:eastAsia="Times New Roman" w:hAnsi="Times New Roman" w:cs="Times New Roman"/>
          <w:noProof/>
          <w:sz w:val="24"/>
          <w:szCs w:val="24"/>
        </w:rPr>
        <w:t>(Loewenstein, Hsee, Weber, &amp; Welch, 2001)</w:t>
      </w:r>
      <w:r w:rsidR="00A4533B">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However, the ATF fails to acknowledge the role of primary inducers and their related physiological changes (which we know occur) and thus the SMH may be a more comprehensive explanation of the relationship between arousal and decision making. </w:t>
      </w:r>
    </w:p>
    <w:p w14:paraId="3F520CA7" w14:textId="77777777" w:rsidR="00B32474" w:rsidRDefault="00B32474" w:rsidP="00C420EE">
      <w:pPr>
        <w:pStyle w:val="Default"/>
        <w:suppressLineNumbers/>
        <w:spacing w:line="480" w:lineRule="auto"/>
        <w:rPr>
          <w:rFonts w:ascii="Times New Roman" w:eastAsia="Times New Roman" w:hAnsi="Times New Roman" w:cs="Times New Roman"/>
          <w:sz w:val="24"/>
          <w:szCs w:val="24"/>
        </w:rPr>
      </w:pPr>
    </w:p>
    <w:p w14:paraId="49BC3CCE" w14:textId="79CC5360" w:rsidR="00A50E03"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There are however concerns about the internal validi</w:t>
      </w:r>
      <w:r w:rsidR="00A4533B">
        <w:rPr>
          <w:rFonts w:ascii="Times New Roman" w:eastAsia="Times New Roman" w:hAnsi="Times New Roman" w:cs="Times New Roman"/>
          <w:sz w:val="24"/>
          <w:szCs w:val="24"/>
        </w:rPr>
        <w:t>ty of the SMH.</w:t>
      </w:r>
      <w:r w:rsidRPr="27C27199">
        <w:rPr>
          <w:rFonts w:ascii="Times New Roman" w:eastAsia="Times New Roman" w:hAnsi="Times New Roman" w:cs="Times New Roman"/>
          <w:sz w:val="24"/>
          <w:szCs w:val="24"/>
        </w:rPr>
        <w:t xml:space="preserve"> </w:t>
      </w:r>
      <w:r w:rsidR="00A4533B">
        <w:rPr>
          <w:rFonts w:ascii="Times New Roman" w:eastAsia="Times New Roman" w:hAnsi="Times New Roman" w:cs="Times New Roman"/>
          <w:sz w:val="24"/>
          <w:szCs w:val="24"/>
        </w:rPr>
        <w:fldChar w:fldCharType="begin" w:fldLock="1"/>
      </w:r>
      <w:r w:rsidR="00A4533B">
        <w:rPr>
          <w:rFonts w:ascii="Times New Roman" w:eastAsia="Times New Roman" w:hAnsi="Times New Roman" w:cs="Times New Roman"/>
          <w:sz w:val="24"/>
          <w:szCs w:val="24"/>
        </w:rPr>
        <w:instrText>ADDIN CSL_CITATION { "citationItems" : [ { "id" : "ITEM-1", "itemData" : { "author" : [ { "dropping-particle" : "", "family" : "Colombetti", "given" : "G.", "non-dropping-particle" : "", "parse-names" : false, "suffix" : "" } ], "container-title" : "The British Journal for the Philosophy of Science", "id" : "ITEM-1", "issued" : { "date-parts" : [ [ "2008" ] ] }, "page" : "51-71", "title" : "The Somatic Mrker Hypothesis, and what the IOWA gambling task does and does not show.", "type" : "article-journal", "volume" : "59" }, "uris" : [ "http://www.mendeley.com/documents/?uuid=8e627c96-695c-42b4-b350-c184cbad4b51" ] } ], "mendeley" : { "formattedCitation" : "(Colombetti, 2008)", "manualFormatting" : "Colombetti (2008)", "plainTextFormattedCitation" : "(Colombetti, 2008)", "previouslyFormattedCitation" : "(Colombetti, 2008)" }, "properties" : {  }, "schema" : "https://github.com/citation-style-language/schema/raw/master/csl-citation.json" }</w:instrText>
      </w:r>
      <w:r w:rsidR="00A4533B">
        <w:rPr>
          <w:rFonts w:ascii="Times New Roman" w:eastAsia="Times New Roman" w:hAnsi="Times New Roman" w:cs="Times New Roman"/>
          <w:sz w:val="24"/>
          <w:szCs w:val="24"/>
        </w:rPr>
        <w:fldChar w:fldCharType="separate"/>
      </w:r>
      <w:r w:rsidR="00A4533B">
        <w:rPr>
          <w:rFonts w:ascii="Times New Roman" w:eastAsia="Times New Roman" w:hAnsi="Times New Roman" w:cs="Times New Roman"/>
          <w:noProof/>
          <w:sz w:val="24"/>
          <w:szCs w:val="24"/>
        </w:rPr>
        <w:t>Colombetti</w:t>
      </w:r>
      <w:r w:rsidR="00A4533B" w:rsidRPr="00A4533B">
        <w:rPr>
          <w:rFonts w:ascii="Times New Roman" w:eastAsia="Times New Roman" w:hAnsi="Times New Roman" w:cs="Times New Roman"/>
          <w:noProof/>
          <w:sz w:val="24"/>
          <w:szCs w:val="24"/>
        </w:rPr>
        <w:t xml:space="preserve"> </w:t>
      </w:r>
      <w:r w:rsidR="00A4533B">
        <w:rPr>
          <w:rFonts w:ascii="Times New Roman" w:eastAsia="Times New Roman" w:hAnsi="Times New Roman" w:cs="Times New Roman"/>
          <w:noProof/>
          <w:sz w:val="24"/>
          <w:szCs w:val="24"/>
        </w:rPr>
        <w:t>(</w:t>
      </w:r>
      <w:r w:rsidR="00A4533B" w:rsidRPr="00A4533B">
        <w:rPr>
          <w:rFonts w:ascii="Times New Roman" w:eastAsia="Times New Roman" w:hAnsi="Times New Roman" w:cs="Times New Roman"/>
          <w:noProof/>
          <w:sz w:val="24"/>
          <w:szCs w:val="24"/>
        </w:rPr>
        <w:t>2008)</w:t>
      </w:r>
      <w:r w:rsidR="00A4533B">
        <w:rPr>
          <w:rFonts w:ascii="Times New Roman" w:eastAsia="Times New Roman" w:hAnsi="Times New Roman" w:cs="Times New Roman"/>
          <w:sz w:val="24"/>
          <w:szCs w:val="24"/>
        </w:rPr>
        <w:fldChar w:fldCharType="end"/>
      </w:r>
      <w:r w:rsidR="00A4533B">
        <w:rPr>
          <w:rFonts w:ascii="Times New Roman" w:eastAsia="Times New Roman" w:hAnsi="Times New Roman" w:cs="Times New Roman"/>
          <w:sz w:val="24"/>
          <w:szCs w:val="24"/>
        </w:rPr>
        <w:t xml:space="preserve"> </w:t>
      </w:r>
      <w:r w:rsidRPr="27C27199">
        <w:rPr>
          <w:rFonts w:ascii="Times New Roman" w:eastAsia="Times New Roman" w:hAnsi="Times New Roman" w:cs="Times New Roman"/>
          <w:sz w:val="24"/>
          <w:szCs w:val="24"/>
        </w:rPr>
        <w:t xml:space="preserve">comments that the broad </w:t>
      </w:r>
      <w:r w:rsidR="009D2ADE">
        <w:rPr>
          <w:rFonts w:ascii="Times New Roman" w:eastAsia="Times New Roman" w:hAnsi="Times New Roman" w:cs="Times New Roman"/>
          <w:sz w:val="24"/>
          <w:szCs w:val="24"/>
        </w:rPr>
        <w:t>characterisation</w:t>
      </w:r>
      <w:r w:rsidR="009D2ADE" w:rsidRPr="27C27199">
        <w:rPr>
          <w:rFonts w:ascii="Times New Roman" w:eastAsia="Times New Roman" w:hAnsi="Times New Roman" w:cs="Times New Roman"/>
          <w:sz w:val="24"/>
          <w:szCs w:val="24"/>
        </w:rPr>
        <w:t xml:space="preserve"> </w:t>
      </w:r>
      <w:r w:rsidRPr="27C27199">
        <w:rPr>
          <w:rFonts w:ascii="Times New Roman" w:eastAsia="Times New Roman" w:hAnsi="Times New Roman" w:cs="Times New Roman"/>
          <w:sz w:val="24"/>
          <w:szCs w:val="24"/>
        </w:rPr>
        <w:t xml:space="preserve">of somatic markers and the dimensional nature of arousal restricts the extent to which we can tease primary and secondary inducers apart from arousal responses, </w:t>
      </w:r>
      <w:r w:rsidR="009D2ADE">
        <w:rPr>
          <w:rFonts w:ascii="Times New Roman" w:eastAsia="Times New Roman" w:hAnsi="Times New Roman" w:cs="Times New Roman"/>
          <w:sz w:val="24"/>
          <w:szCs w:val="24"/>
        </w:rPr>
        <w:t>such as</w:t>
      </w:r>
      <w:r w:rsidR="009D2ADE" w:rsidRPr="27C27199">
        <w:rPr>
          <w:rFonts w:ascii="Times New Roman" w:eastAsia="Times New Roman" w:hAnsi="Times New Roman" w:cs="Times New Roman"/>
          <w:sz w:val="24"/>
          <w:szCs w:val="24"/>
        </w:rPr>
        <w:t xml:space="preserve"> </w:t>
      </w:r>
      <w:r w:rsidRPr="27C27199">
        <w:rPr>
          <w:rFonts w:ascii="Times New Roman" w:eastAsia="Times New Roman" w:hAnsi="Times New Roman" w:cs="Times New Roman"/>
          <w:sz w:val="24"/>
          <w:szCs w:val="24"/>
        </w:rPr>
        <w:t xml:space="preserve">changes in SCRs that are unrelated to the decision making process e.g. appetitive response </w:t>
      </w:r>
      <w:r w:rsidR="008D377D">
        <w:rPr>
          <w:rFonts w:ascii="Times New Roman" w:eastAsia="Times New Roman" w:hAnsi="Times New Roman" w:cs="Times New Roman"/>
          <w:sz w:val="24"/>
          <w:szCs w:val="24"/>
        </w:rPr>
        <w:fldChar w:fldCharType="begin" w:fldLock="1"/>
      </w:r>
      <w:r w:rsidR="008D377D">
        <w:rPr>
          <w:rFonts w:ascii="Times New Roman" w:eastAsia="Times New Roman" w:hAnsi="Times New Roman" w:cs="Times New Roman"/>
          <w:sz w:val="24"/>
          <w:szCs w:val="24"/>
        </w:rPr>
        <w:instrText>ADDIN CSL_CITATION { "citationItems" : [ { "id" : "ITEM-1", "itemData" : { "DOI" : "10.1007/s00221-002-1353-9", "ISBN" : "0014-4819 (Print)\\r0014-4819 (Linking)", "ISSN" : "00144819", "PMID" : "12632229", "abstract" : "In the present report, we examine electrodermal activity (skin conductance responses, SCRs) in monkeys trained to perform target-selection (TS) tests. In each test, the animal was presented in successive trials with the same two unequally rewarded targets on a touch screen. The probabilistic contingencies of the rewards associated with each target rendered the selection of the best difficult. Our findings revealed SCRs time-locked to the arm movements toward the rewarded targets, occurring after the target touches. Parameters of the SCRs were stable when the uncertainty of the choices and of the outcomes varied. The results support the hypothesis that the physiological processes indexed by the SCRs are the correlate of anticipatory appetitive behavior. In contrast, there is no evidence that the SCRs reflect cognitive processes associated with the detection of the best target.", "author" : [ { "dropping-particle" : "", "family" : "Amiez", "given" : "C\u00e9line", "non-dropping-particle" : "", "parse-names" : false, "suffix" : "" }, { "dropping-particle" : "", "family" : "Procyk", "given" : "Emmanuel", "non-dropping-particle" : "", "parse-names" : false, "suffix" : "" }, { "dropping-particle" : "", "family" : "Honor\u00e9", "given" : "Jacques", "non-dropping-particle" : "", "parse-names" : false, "suffix" : "" }, { "dropping-particle" : "", "family" : "Sequeira", "given" : "Henrique", "non-dropping-particle" : "", "parse-names" : false, "suffix" : "" }, { "dropping-particle" : "", "family" : "Joseph", "given" : "Jean Paul", "non-dropping-particle" : "", "parse-names" : false, "suffix" : "" } ], "container-title" : "Experimental Brain Research", "id" : "ITEM-1", "issue" : "3", "issued" : { "date-parts" : [ [ "2003" ] ] }, "page" : "267-275", "title" : "Reward anticipation, cognition, and electrodermal activity in the conditioned monkey", "type" : "article-journal", "volume" : "149" }, "uris" : [ "http://www.mendeley.com/documents/?uuid=b1457289-3029-4b50-9984-eeac7c6b99a3" ] } ], "mendeley" : { "formattedCitation" : "(Amiez, Procyk, Honor\u00e9, Sequeira, &amp; Joseph, 2003)", "plainTextFormattedCitation" : "(Amiez, Procyk, Honor\u00e9, Sequeira, &amp; Joseph, 2003)", "previouslyFormattedCitation" : "(Amiez, Procyk, Honor\u00e9, Sequeira, &amp; Joseph, 2003)" }, "properties" : {  }, "schema" : "https://github.com/citation-style-language/schema/raw/master/csl-citation.json" }</w:instrText>
      </w:r>
      <w:r w:rsidR="008D377D">
        <w:rPr>
          <w:rFonts w:ascii="Times New Roman" w:eastAsia="Times New Roman" w:hAnsi="Times New Roman" w:cs="Times New Roman"/>
          <w:sz w:val="24"/>
          <w:szCs w:val="24"/>
        </w:rPr>
        <w:fldChar w:fldCharType="separate"/>
      </w:r>
      <w:r w:rsidR="008D377D" w:rsidRPr="008D377D">
        <w:rPr>
          <w:rFonts w:ascii="Times New Roman" w:eastAsia="Times New Roman" w:hAnsi="Times New Roman" w:cs="Times New Roman"/>
          <w:noProof/>
          <w:sz w:val="24"/>
          <w:szCs w:val="24"/>
        </w:rPr>
        <w:t xml:space="preserve">(Amiez, Procyk, Honoré, </w:t>
      </w:r>
      <w:r w:rsidR="008D377D" w:rsidRPr="008D377D">
        <w:rPr>
          <w:rFonts w:ascii="Times New Roman" w:eastAsia="Times New Roman" w:hAnsi="Times New Roman" w:cs="Times New Roman"/>
          <w:noProof/>
          <w:sz w:val="24"/>
          <w:szCs w:val="24"/>
        </w:rPr>
        <w:lastRenderedPageBreak/>
        <w:t>Sequeira, &amp; Joseph, 2003)</w:t>
      </w:r>
      <w:r w:rsidR="008D377D">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Whilst this might be true, we know that the SMH is fundamental in explaining economic decisions, and therefore should be used as theoretical background for research in neuroeconomics (Bechara &amp; Damasio, 2005). To this end, the present study aims to extend and apply the SMH to investment choice-making.</w:t>
      </w:r>
    </w:p>
    <w:p w14:paraId="55759861" w14:textId="77777777" w:rsidR="00B32474" w:rsidRDefault="00B32474" w:rsidP="00C420EE">
      <w:pPr>
        <w:pStyle w:val="Default"/>
        <w:suppressLineNumbers/>
        <w:spacing w:line="480" w:lineRule="auto"/>
        <w:rPr>
          <w:rFonts w:ascii="Times New Roman" w:eastAsia="Times New Roman" w:hAnsi="Times New Roman" w:cs="Times New Roman"/>
          <w:sz w:val="24"/>
          <w:szCs w:val="24"/>
        </w:rPr>
      </w:pPr>
    </w:p>
    <w:p w14:paraId="1B63B082" w14:textId="6D61C732" w:rsidR="00B32474"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Moving away from critique of the model itself, there have also been questions raised about how the SMH is investigated, and the methodology of previous experiments (e.g. Bechara &amp; Damasio, 2005); particularly concerning its </w:t>
      </w:r>
      <w:r w:rsidR="009D2ADE">
        <w:rPr>
          <w:rFonts w:ascii="Times New Roman" w:eastAsia="Times New Roman" w:hAnsi="Times New Roman" w:cs="Times New Roman"/>
          <w:sz w:val="24"/>
          <w:szCs w:val="24"/>
        </w:rPr>
        <w:t>generalisability</w:t>
      </w:r>
      <w:r w:rsidR="009D2ADE" w:rsidRPr="27C27199">
        <w:rPr>
          <w:rFonts w:ascii="Times New Roman" w:eastAsia="Times New Roman" w:hAnsi="Times New Roman" w:cs="Times New Roman"/>
          <w:sz w:val="24"/>
          <w:szCs w:val="24"/>
        </w:rPr>
        <w:t xml:space="preserve"> </w:t>
      </w:r>
      <w:r w:rsidRPr="27C27199">
        <w:rPr>
          <w:rFonts w:ascii="Times New Roman" w:eastAsia="Times New Roman" w:hAnsi="Times New Roman" w:cs="Times New Roman"/>
          <w:sz w:val="24"/>
          <w:szCs w:val="24"/>
        </w:rPr>
        <w:t>to complex investment scenarios. For example, the suggested Iowa gambling task does not account for important characteristics related to the investment context.  These include: the level of uncertainty, the possibility to learn from experience, the reverse learning process and updating beliefs observation after observation. This possibility to learn from experience may not be available in investment scenarios, and thus the ecological validity of the Iowa Gam</w:t>
      </w:r>
      <w:r w:rsidR="00A4533B">
        <w:rPr>
          <w:rFonts w:ascii="Times New Roman" w:eastAsia="Times New Roman" w:hAnsi="Times New Roman" w:cs="Times New Roman"/>
          <w:sz w:val="24"/>
          <w:szCs w:val="24"/>
        </w:rPr>
        <w:t xml:space="preserve">bling Task may be limited here </w:t>
      </w:r>
      <w:r w:rsidR="00A4533B">
        <w:rPr>
          <w:rFonts w:ascii="Times New Roman" w:eastAsia="Times New Roman" w:hAnsi="Times New Roman" w:cs="Times New Roman"/>
          <w:sz w:val="24"/>
          <w:szCs w:val="24"/>
        </w:rPr>
        <w:fldChar w:fldCharType="begin" w:fldLock="1"/>
      </w:r>
      <w:r w:rsidR="00A4533B">
        <w:rPr>
          <w:rFonts w:ascii="Times New Roman" w:eastAsia="Times New Roman" w:hAnsi="Times New Roman" w:cs="Times New Roman"/>
          <w:sz w:val="24"/>
          <w:szCs w:val="24"/>
        </w:rPr>
        <w:instrText>ADDIN CSL_CITATION { "citationItems" : [ { "id" : "ITEM-1", "itemData" : { "DOI" : "10.1007/s11065-009-9083-4", "ISBN" : "1040-7308", "ISSN" : "10407308", "PMID" : "19194801", "abstract" : "The Iowa Gambling Task (IGT) was created to assess real-world decision making in a laboratory setting and has been applied to various clinical populations (i.e., substance abuse, schizophrenia, pathological gamblers) outside those with orbitofrontal cortex damage, for whom it was originally developed. The current review provides a critical examination of lesion, functional neuroimaging, developmental, and clinical studies in order to examine the construct validity of the IGT. The preponderance of evidence provides support for the use of the IGT to detect decision making deficits in clinical populations, in the context of a more comprehensive evaluation. The review includes a discussion of three critical issues affecting the validity of the IGT, as it has recently become available as a clinical instrument: the lack of a concise definition as to what aspect of decision making the IGT measures, the lack of data regarding reliability of the IGT, and the influence of personality and state mood on IGT performance.", "author" : [ { "dropping-particle" : "", "family" : "Buelow", "given" : "Melissa T.", "non-dropping-particle" : "", "parse-names" : false, "suffix" : "" }, { "dropping-particle" : "", "family" : "Suhr", "given" : "Julie A.", "non-dropping-particle" : "", "parse-names" : false, "suffix" : "" } ], "container-title" : "Neuropsychology Review", "id" : "ITEM-1", "issue" : "1", "issued" : { "date-parts" : [ [ "2009" ] ] }, "page" : "102-114", "title" : "Construct validity of the Iowa gambling task", "type" : "article-journal", "volume" : "19" }, "uris" : [ "http://www.mendeley.com/documents/?uuid=0e496793-35f8-4dfb-9cfd-47039d581da5" ] } ], "mendeley" : { "formattedCitation" : "(Buelow &amp; Suhr, 2009)", "plainTextFormattedCitation" : "(Buelow &amp; Suhr, 2009)", "previouslyFormattedCitation" : "(Buelow &amp; Suhr, 2009)" }, "properties" : {  }, "schema" : "https://github.com/citation-style-language/schema/raw/master/csl-citation.json" }</w:instrText>
      </w:r>
      <w:r w:rsidR="00A4533B">
        <w:rPr>
          <w:rFonts w:ascii="Times New Roman" w:eastAsia="Times New Roman" w:hAnsi="Times New Roman" w:cs="Times New Roman"/>
          <w:sz w:val="24"/>
          <w:szCs w:val="24"/>
        </w:rPr>
        <w:fldChar w:fldCharType="separate"/>
      </w:r>
      <w:r w:rsidR="00A4533B" w:rsidRPr="00A4533B">
        <w:rPr>
          <w:rFonts w:ascii="Times New Roman" w:eastAsia="Times New Roman" w:hAnsi="Times New Roman" w:cs="Times New Roman"/>
          <w:noProof/>
          <w:sz w:val="24"/>
          <w:szCs w:val="24"/>
        </w:rPr>
        <w:t>(Buelow &amp; Suhr, 2009)</w:t>
      </w:r>
      <w:r w:rsidR="00A4533B">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w:t>
      </w:r>
    </w:p>
    <w:p w14:paraId="5A773AF3" w14:textId="77777777" w:rsidR="00B32474" w:rsidRDefault="00B32474" w:rsidP="00C420EE">
      <w:pPr>
        <w:pStyle w:val="Default"/>
        <w:suppressLineNumbers/>
        <w:spacing w:line="480" w:lineRule="auto"/>
        <w:rPr>
          <w:rFonts w:ascii="Times New Roman" w:eastAsia="Times New Roman" w:hAnsi="Times New Roman" w:cs="Times New Roman"/>
          <w:sz w:val="24"/>
          <w:szCs w:val="24"/>
        </w:rPr>
      </w:pPr>
    </w:p>
    <w:p w14:paraId="2B1D604F" w14:textId="77777777" w:rsidR="00B32474" w:rsidRPr="00446ADC"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In response, the present study moves away from the norm (the Iowa </w:t>
      </w:r>
      <w:r w:rsidRPr="006C3905">
        <w:rPr>
          <w:rFonts w:ascii="Times New Roman" w:eastAsia="Times New Roman" w:hAnsi="Times New Roman" w:cs="Times New Roman"/>
          <w:sz w:val="24"/>
          <w:szCs w:val="24"/>
        </w:rPr>
        <w:t>gambling task) and instead uses the Behavioural Investment Allocation Strategy (BIAS) as an assessment of decision making. The BIAS task is more appropriate for use in the present</w:t>
      </w:r>
      <w:r w:rsidRPr="27C27199">
        <w:rPr>
          <w:rFonts w:ascii="Times New Roman" w:eastAsia="Times New Roman" w:hAnsi="Times New Roman" w:cs="Times New Roman"/>
          <w:sz w:val="24"/>
          <w:szCs w:val="24"/>
        </w:rPr>
        <w:t xml:space="preserve"> study because it operationalizes (sub) optimal choice as a choice strictly dependent from the level of </w:t>
      </w:r>
      <w:r w:rsidRPr="27C27199">
        <w:rPr>
          <w:rFonts w:ascii="Times New Roman" w:eastAsia="Times New Roman" w:hAnsi="Times New Roman" w:cs="Times New Roman"/>
          <w:sz w:val="24"/>
          <w:szCs w:val="24"/>
        </w:rPr>
        <w:lastRenderedPageBreak/>
        <w:t xml:space="preserve">uncertainty. A risk neutral agent should maximize his profit based on the level of uncertainty he faces. For example, if the level of uncertainty is high (in this study more than 0.67) a risk neutral agent makes an optimal choice if he chooses a bond rather than a stock. On the contrary, if the level of uncertainty is low (in this study less than 0.67) a risk neutral agent makes an optimal choice if he chooses a stock over a bond.  Other gambling tasks (such as the Iowa Gambling Task) define optimal choice as advantageous (Buelow &amp; Suhr. 2009) but, by using the Bayesian rule of updating belief under uncertainty, the BIAS task gives a more sophisticated representation of what it means to choose advantageously. Furthermore, the BIAS task introduces language like “stock” and “bond”, which is investment-style language, and hence it has more ecological validity. Thirdly, unlike the Iowa Gambling Task, the BIAS task facilitates the measurement of anticipatory, as well as concurrent, physiological responses. This allows for more substantial conclusions about the impact of emotion (arousal) on decision-making. </w:t>
      </w:r>
    </w:p>
    <w:p w14:paraId="21047CFC" w14:textId="77777777" w:rsidR="00B32474" w:rsidRDefault="00B32474" w:rsidP="00C420EE">
      <w:pPr>
        <w:pStyle w:val="Default"/>
        <w:suppressLineNumbers/>
        <w:spacing w:line="480" w:lineRule="auto"/>
        <w:rPr>
          <w:rFonts w:ascii="Times New Roman" w:eastAsia="Times New Roman" w:hAnsi="Times New Roman" w:cs="Times New Roman"/>
          <w:sz w:val="24"/>
          <w:szCs w:val="24"/>
        </w:rPr>
      </w:pPr>
    </w:p>
    <w:p w14:paraId="443B918F" w14:textId="399D7769" w:rsidR="00B32474"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Investment-making requires a degree of expertise. As demonstrated by </w:t>
      </w:r>
      <w:r w:rsidR="00B1615C">
        <w:rPr>
          <w:rFonts w:ascii="Times New Roman" w:eastAsia="Times New Roman" w:hAnsi="Times New Roman" w:cs="Times New Roman"/>
          <w:sz w:val="24"/>
          <w:szCs w:val="24"/>
        </w:rPr>
        <w:fldChar w:fldCharType="begin" w:fldLock="1"/>
      </w:r>
      <w:r w:rsidR="00B1615C">
        <w:rPr>
          <w:rFonts w:ascii="Times New Roman" w:eastAsia="Times New Roman" w:hAnsi="Times New Roman" w:cs="Times New Roman"/>
          <w:sz w:val="24"/>
          <w:szCs w:val="24"/>
        </w:rPr>
        <w:instrText>ADDIN CSL_CITATION { "citationItems" : [ { "id" : "ITEM-1", "itemData" : { "author" : [ { "dropping-particle" : "", "family" : "Perkins, W. S., &amp; Reyna", "given" : "V.", "non-dropping-particle" : "", "parse-names" : false, "suffix" : "" } ], "container-title" : "T ACR North American Advances.", "id" : "ITEM-1", "issued" : { "date-parts" : [ [ "1990" ] ] }, "title" : "he effects of expertise on preference and typicality in investment decision making.", "type" : "article-journal" }, "uris" : [ "http://www.mendeley.com/documents/?uuid=e4515572-b18d-4655-bb97-1f44005bcfc3" ] } ], "mendeley" : { "formattedCitation" : "(Perkins, W. S., &amp; Reyna, 1990)", "manualFormatting" : "Perkins and Reyna (1990)", "plainTextFormattedCitation" : "(Perkins, W. S., &amp; Reyna, 1990)", "previouslyFormattedCitation" : "(Perkins, W. S., &amp; Reyna, 1990)" }, "properties" : {  }, "schema" : "https://github.com/citation-style-language/schema/raw/master/csl-citation.json" }</w:instrText>
      </w:r>
      <w:r w:rsidR="00B1615C">
        <w:rPr>
          <w:rFonts w:ascii="Times New Roman" w:eastAsia="Times New Roman" w:hAnsi="Times New Roman" w:cs="Times New Roman"/>
          <w:sz w:val="24"/>
          <w:szCs w:val="24"/>
        </w:rPr>
        <w:fldChar w:fldCharType="separate"/>
      </w:r>
      <w:r w:rsidR="00B1615C">
        <w:rPr>
          <w:rFonts w:ascii="Times New Roman" w:eastAsia="Times New Roman" w:hAnsi="Times New Roman" w:cs="Times New Roman"/>
          <w:noProof/>
          <w:sz w:val="24"/>
          <w:szCs w:val="24"/>
        </w:rPr>
        <w:t>Perkins and Reyna (</w:t>
      </w:r>
      <w:r w:rsidR="00B1615C" w:rsidRPr="00B1615C">
        <w:rPr>
          <w:rFonts w:ascii="Times New Roman" w:eastAsia="Times New Roman" w:hAnsi="Times New Roman" w:cs="Times New Roman"/>
          <w:noProof/>
          <w:sz w:val="24"/>
          <w:szCs w:val="24"/>
        </w:rPr>
        <w:t>1990)</w:t>
      </w:r>
      <w:r w:rsidR="00B1615C">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expertise and experience reduce preference </w:t>
      </w:r>
      <w:r w:rsidRPr="00706032">
        <w:rPr>
          <w:rFonts w:ascii="Times New Roman" w:eastAsia="Times New Roman" w:hAnsi="Times New Roman" w:cs="Times New Roman"/>
          <w:sz w:val="24"/>
          <w:szCs w:val="24"/>
        </w:rPr>
        <w:t>and typicality in decision making, meaning that those who are more experienced tend to make more incisive and meaningful decisions, rather than novices who tend to default toward normative or biased judgements.</w:t>
      </w:r>
      <w:r w:rsidRPr="27C27199">
        <w:rPr>
          <w:rFonts w:ascii="Times New Roman" w:eastAsia="Times New Roman" w:hAnsi="Times New Roman" w:cs="Times New Roman"/>
          <w:sz w:val="24"/>
          <w:szCs w:val="24"/>
        </w:rPr>
        <w:t xml:space="preserve"> Furthermore, experts tend to have superior cognitive functioning and </w:t>
      </w:r>
      <w:r w:rsidRPr="27C27199">
        <w:rPr>
          <w:rFonts w:ascii="Times New Roman" w:eastAsia="Times New Roman" w:hAnsi="Times New Roman" w:cs="Times New Roman"/>
          <w:sz w:val="24"/>
          <w:szCs w:val="24"/>
        </w:rPr>
        <w:lastRenderedPageBreak/>
        <w:t xml:space="preserve">perform better on tasks related to attention and problem solving </w:t>
      </w:r>
      <w:r w:rsidR="00687230">
        <w:rPr>
          <w:rFonts w:ascii="Times New Roman" w:eastAsia="Times New Roman" w:hAnsi="Times New Roman" w:cs="Times New Roman"/>
          <w:sz w:val="24"/>
          <w:szCs w:val="24"/>
        </w:rPr>
        <w:fldChar w:fldCharType="begin" w:fldLock="1"/>
      </w:r>
      <w:r w:rsidR="00687230">
        <w:rPr>
          <w:rFonts w:ascii="Times New Roman" w:eastAsia="Times New Roman" w:hAnsi="Times New Roman" w:cs="Times New Roman"/>
          <w:sz w:val="24"/>
          <w:szCs w:val="24"/>
        </w:rPr>
        <w:instrText>ADDIN CSL_CITATION { "citationItems" : [ { "id" : "ITEM-1", "itemData" : { "author" : [ { "dropping-particle" : "", "family" : "Shanteau", "given" : "James", "non-dropping-particle" : "", "parse-names" : false, "suffix" : "" } ], "container-title" : "Acta Psychologica", "id" : "ITEM-1", "issued" : { "date-parts" : [ [ "1988" ] ] }, "page" : "203-215", "title" : "PSYCHOLOGICAL CHARACTERISTICS AND STRATEGIES OF EXPERT DECISION MAKERS.", "type" : "article-journal", "volume" : "68" }, "uris" : [ "http://www.mendeley.com/documents/?uuid=11c6ace0-a971-4276-9d52-f5e078187945" ] } ], "mendeley" : { "formattedCitation" : "(Shanteau, 1988)", "plainTextFormattedCitation" : "(Shanteau, 1988)", "previouslyFormattedCitation" : "(Shanteau, 1988)" }, "properties" : {  }, "schema" : "https://github.com/citation-style-language/schema/raw/master/csl-citation.json" }</w:instrText>
      </w:r>
      <w:r w:rsidR="00687230">
        <w:rPr>
          <w:rFonts w:ascii="Times New Roman" w:eastAsia="Times New Roman" w:hAnsi="Times New Roman" w:cs="Times New Roman"/>
          <w:sz w:val="24"/>
          <w:szCs w:val="24"/>
        </w:rPr>
        <w:fldChar w:fldCharType="separate"/>
      </w:r>
      <w:r w:rsidR="00687230" w:rsidRPr="00687230">
        <w:rPr>
          <w:rFonts w:ascii="Times New Roman" w:eastAsia="Times New Roman" w:hAnsi="Times New Roman" w:cs="Times New Roman"/>
          <w:noProof/>
          <w:sz w:val="24"/>
          <w:szCs w:val="24"/>
        </w:rPr>
        <w:t>(Shanteau, 1988)</w:t>
      </w:r>
      <w:r w:rsidR="00687230">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w:t>
      </w:r>
      <w:r w:rsidR="00B2721A">
        <w:rPr>
          <w:rFonts w:ascii="Times New Roman" w:eastAsia="Times New Roman" w:hAnsi="Times New Roman" w:cs="Times New Roman"/>
          <w:sz w:val="24"/>
          <w:szCs w:val="24"/>
        </w:rPr>
        <w:t xml:space="preserve">and </w:t>
      </w:r>
      <w:r w:rsidRPr="27C27199">
        <w:rPr>
          <w:rFonts w:ascii="Times New Roman" w:eastAsia="Times New Roman" w:hAnsi="Times New Roman" w:cs="Times New Roman"/>
          <w:sz w:val="24"/>
          <w:szCs w:val="24"/>
        </w:rPr>
        <w:t>find solutions faster and in less steps</w:t>
      </w:r>
      <w:r w:rsidR="00687230">
        <w:rPr>
          <w:rFonts w:ascii="Times New Roman" w:eastAsia="Times New Roman" w:hAnsi="Times New Roman" w:cs="Times New Roman"/>
          <w:sz w:val="24"/>
          <w:szCs w:val="24"/>
        </w:rPr>
        <w:t xml:space="preserve"> </w:t>
      </w:r>
      <w:r w:rsidR="00687230">
        <w:rPr>
          <w:rFonts w:ascii="Times New Roman" w:eastAsia="Times New Roman" w:hAnsi="Times New Roman" w:cs="Times New Roman"/>
          <w:sz w:val="24"/>
          <w:szCs w:val="24"/>
        </w:rPr>
        <w:fldChar w:fldCharType="begin" w:fldLock="1"/>
      </w:r>
      <w:r w:rsidR="00687230">
        <w:rPr>
          <w:rFonts w:ascii="Times New Roman" w:eastAsia="Times New Roman" w:hAnsi="Times New Roman" w:cs="Times New Roman"/>
          <w:sz w:val="24"/>
          <w:szCs w:val="24"/>
        </w:rPr>
        <w:instrText>ADDIN CSL_CITATION { "citationItems" : [ { "id" : "ITEM-1", "itemData" : { "author" : [ { "dropping-particle" : "", "family" : "Larkin", "given" : "J.", "non-dropping-particle" : "", "parse-names" : false, "suffix" : "" }, { "dropping-particle" : "", "family" : "McDermott", "given" : "J.", "non-dropping-particle" : "", "parse-names" : false, "suffix" : "" }, { "dropping-particle" : "", "family" : "Simon", "given" : "D. P.", "non-dropping-particle" : "", "parse-names" : false, "suffix" : "" }, { "dropping-particle" : "", "family" : "Simon", "given" : "H. A.", "non-dropping-particle" : "", "parse-names" : false, "suffix" : "" } ], "container-title" : "Science", "id" : "ITEM-1", "issue" : "4450", "issued" : { "date-parts" : [ [ "1980" ] ] }, "page" : "1335-1342", "title" : "Expert and novice performance in solving physics problems.", "type" : "article-journal", "volume" : "208" }, "uris" : [ "http://www.mendeley.com/documents/?uuid=0df19781-cd15-4034-b392-90500f64f188" ] } ], "mendeley" : { "formattedCitation" : "(Larkin, McDermott, Simon, &amp; Simon, 1980)", "plainTextFormattedCitation" : "(Larkin, McDermott, Simon, &amp; Simon, 1980)", "previouslyFormattedCitation" : "(Larkin, McDermott, Simon, &amp; Simon, 1980)" }, "properties" : {  }, "schema" : "https://github.com/citation-style-language/schema/raw/master/csl-citation.json" }</w:instrText>
      </w:r>
      <w:r w:rsidR="00687230">
        <w:rPr>
          <w:rFonts w:ascii="Times New Roman" w:eastAsia="Times New Roman" w:hAnsi="Times New Roman" w:cs="Times New Roman"/>
          <w:sz w:val="24"/>
          <w:szCs w:val="24"/>
        </w:rPr>
        <w:fldChar w:fldCharType="separate"/>
      </w:r>
      <w:r w:rsidR="00687230" w:rsidRPr="00687230">
        <w:rPr>
          <w:rFonts w:ascii="Times New Roman" w:eastAsia="Times New Roman" w:hAnsi="Times New Roman" w:cs="Times New Roman"/>
          <w:noProof/>
          <w:sz w:val="24"/>
          <w:szCs w:val="24"/>
        </w:rPr>
        <w:t>(Larkin, McDermott, Simon, &amp; Simon, 1980)</w:t>
      </w:r>
      <w:r w:rsidR="00687230">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than non-experts. To acknowledge and investigate this difference in expertise and how it affects decision making, this research compares </w:t>
      </w:r>
      <w:r w:rsidRPr="00706032">
        <w:rPr>
          <w:rFonts w:ascii="Times New Roman" w:eastAsia="Times New Roman" w:hAnsi="Times New Roman" w:cs="Times New Roman"/>
          <w:sz w:val="24"/>
          <w:szCs w:val="24"/>
        </w:rPr>
        <w:t xml:space="preserve">those with financial expertise to novices. Experts and non-experts also completed the Balloon Analogue Risk Task (BART) to account for any baseline differences in decision making style or propensities. </w:t>
      </w:r>
    </w:p>
    <w:p w14:paraId="3C4BF5C3" w14:textId="77777777" w:rsidR="00B32474" w:rsidRDefault="00B32474" w:rsidP="00C420EE">
      <w:pPr>
        <w:pStyle w:val="Default"/>
        <w:suppressLineNumbers/>
        <w:spacing w:line="480" w:lineRule="auto"/>
        <w:rPr>
          <w:rFonts w:ascii="Times New Roman" w:eastAsia="Times New Roman" w:hAnsi="Times New Roman" w:cs="Times New Roman"/>
          <w:sz w:val="24"/>
          <w:szCs w:val="24"/>
        </w:rPr>
      </w:pPr>
    </w:p>
    <w:p w14:paraId="49201960" w14:textId="77777777" w:rsidR="00783F13"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In order to give an empirical contribution about the validity and reliability of the SMH in investment choices, the present preliminary study was conducted to investigate (1) whether or not low and high financial uncertainties function as </w:t>
      </w:r>
      <w:r w:rsidRPr="27C27199">
        <w:rPr>
          <w:rFonts w:ascii="Times New Roman" w:eastAsia="Times New Roman" w:hAnsi="Times New Roman" w:cs="Times New Roman"/>
          <w:sz w:val="24"/>
          <w:szCs w:val="24"/>
          <w:lang w:val="de-DE"/>
        </w:rPr>
        <w:t>“</w:t>
      </w:r>
      <w:r w:rsidRPr="27C27199">
        <w:rPr>
          <w:rFonts w:ascii="Times New Roman" w:eastAsia="Times New Roman" w:hAnsi="Times New Roman" w:cs="Times New Roman"/>
          <w:sz w:val="24"/>
          <w:szCs w:val="24"/>
        </w:rPr>
        <w:t>primary inducers” and produce a specific pattern of somatic markers that help individuals to decide optimally; (2) whether or not financial knowledge has an effect on somatic markers.</w:t>
      </w:r>
    </w:p>
    <w:p w14:paraId="6F7A420D" w14:textId="77777777" w:rsidR="00E96135" w:rsidRPr="00CB4F7E"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color w:val="auto"/>
          <w:sz w:val="24"/>
          <w:szCs w:val="24"/>
        </w:rPr>
        <w:t xml:space="preserve">The present study hypothesizes that (1) level of uncertainty will have an effect on state of arousal and subsequent decision making (2) that financial knowledge will help individuals to make more optimal decisions. </w:t>
      </w:r>
    </w:p>
    <w:p w14:paraId="4044E62F" w14:textId="77777777" w:rsidR="001A56B9" w:rsidRDefault="001A56B9" w:rsidP="00C420EE">
      <w:pPr>
        <w:pStyle w:val="Default"/>
        <w:suppressLineNumbers/>
        <w:spacing w:line="480" w:lineRule="auto"/>
        <w:rPr>
          <w:rFonts w:ascii="Times New Roman" w:eastAsia="Times New Roman" w:hAnsi="Times New Roman" w:cs="Times New Roman"/>
          <w:sz w:val="24"/>
          <w:szCs w:val="24"/>
        </w:rPr>
      </w:pPr>
    </w:p>
    <w:p w14:paraId="2E3F5D7C" w14:textId="77777777" w:rsidR="008A04FA" w:rsidRDefault="27C27199" w:rsidP="27C27199">
      <w:pPr>
        <w:pStyle w:val="Default"/>
        <w:suppressLineNumbers/>
        <w:spacing w:line="480" w:lineRule="auto"/>
        <w:rPr>
          <w:rFonts w:ascii="Cambria" w:eastAsia="Cambria" w:hAnsi="Cambria" w:cs="Cambria"/>
          <w:b/>
          <w:bCs/>
          <w:sz w:val="24"/>
          <w:szCs w:val="24"/>
        </w:rPr>
      </w:pPr>
      <w:r w:rsidRPr="27C27199">
        <w:rPr>
          <w:rFonts w:ascii="Cambria" w:eastAsia="Cambria" w:hAnsi="Cambria" w:cs="Cambria"/>
          <w:b/>
          <w:bCs/>
          <w:sz w:val="24"/>
          <w:szCs w:val="24"/>
        </w:rPr>
        <w:t>Method</w:t>
      </w:r>
    </w:p>
    <w:p w14:paraId="4FF231AB" w14:textId="77777777" w:rsidR="001A56B9" w:rsidRDefault="27C27199" w:rsidP="27C27199">
      <w:pPr>
        <w:pStyle w:val="Default"/>
        <w:suppressLineNumbers/>
        <w:spacing w:line="480" w:lineRule="auto"/>
        <w:rPr>
          <w:rFonts w:ascii="Cambria" w:eastAsia="Cambria" w:hAnsi="Cambria" w:cs="Cambria"/>
          <w:b/>
          <w:bCs/>
          <w:sz w:val="24"/>
          <w:szCs w:val="24"/>
        </w:rPr>
      </w:pPr>
      <w:r w:rsidRPr="27C27199">
        <w:rPr>
          <w:rFonts w:ascii="Cambria" w:eastAsia="Cambria" w:hAnsi="Cambria" w:cs="Cambria"/>
          <w:b/>
          <w:bCs/>
          <w:sz w:val="24"/>
          <w:szCs w:val="24"/>
        </w:rPr>
        <w:t>Participants</w:t>
      </w:r>
    </w:p>
    <w:p w14:paraId="19683BE0" w14:textId="603E6A29" w:rsidR="0003138A"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lastRenderedPageBreak/>
        <w:t>The experiment involved twenty participants divided into two groups. The control group consisted of 10 students with mixed background (SMB) (</w:t>
      </w:r>
      <w:r w:rsidRPr="000411DE">
        <w:rPr>
          <w:rFonts w:ascii="Times New Roman" w:eastAsia="Times New Roman" w:hAnsi="Times New Roman" w:cs="Times New Roman"/>
          <w:i/>
          <w:sz w:val="24"/>
          <w:szCs w:val="24"/>
        </w:rPr>
        <w:t>M</w:t>
      </w:r>
      <w:r w:rsidR="00A5778C">
        <w:rPr>
          <w:rFonts w:ascii="Times New Roman" w:eastAsia="Times New Roman" w:hAnsi="Times New Roman" w:cs="Times New Roman"/>
          <w:i/>
          <w:sz w:val="24"/>
          <w:szCs w:val="24"/>
        </w:rPr>
        <w:t xml:space="preserve">age </w:t>
      </w:r>
      <w:r w:rsidRPr="27C27199">
        <w:rPr>
          <w:rFonts w:ascii="Times New Roman" w:eastAsia="Times New Roman" w:hAnsi="Times New Roman" w:cs="Times New Roman"/>
          <w:sz w:val="24"/>
          <w:szCs w:val="24"/>
        </w:rPr>
        <w:t xml:space="preserve">= 26.30, </w:t>
      </w:r>
      <w:r w:rsidRPr="000411DE">
        <w:rPr>
          <w:rFonts w:ascii="Times New Roman" w:eastAsia="Times New Roman" w:hAnsi="Times New Roman" w:cs="Times New Roman"/>
          <w:i/>
          <w:sz w:val="24"/>
          <w:szCs w:val="24"/>
        </w:rPr>
        <w:t>SD</w:t>
      </w:r>
      <w:r w:rsidRPr="27C27199">
        <w:rPr>
          <w:rFonts w:ascii="Times New Roman" w:eastAsia="Times New Roman" w:hAnsi="Times New Roman" w:cs="Times New Roman"/>
          <w:sz w:val="24"/>
          <w:szCs w:val="24"/>
        </w:rPr>
        <w:t xml:space="preserve">= 2.11) recruited from different departments at </w:t>
      </w:r>
      <w:r w:rsidR="000A0517">
        <w:rPr>
          <w:rFonts w:ascii="Times New Roman" w:eastAsia="Times New Roman" w:hAnsi="Times New Roman" w:cs="Times New Roman"/>
          <w:sz w:val="24"/>
          <w:szCs w:val="24"/>
        </w:rPr>
        <w:t xml:space="preserve">the </w:t>
      </w:r>
      <w:r w:rsidRPr="27C27199">
        <w:rPr>
          <w:rFonts w:ascii="Times New Roman" w:eastAsia="Times New Roman" w:hAnsi="Times New Roman" w:cs="Times New Roman"/>
          <w:sz w:val="24"/>
          <w:szCs w:val="24"/>
        </w:rPr>
        <w:t>University of Reading; the experimental group consisted of 10 students specializing in finance (SSF) (</w:t>
      </w:r>
      <w:r w:rsidRPr="000411DE">
        <w:rPr>
          <w:rFonts w:ascii="Times New Roman" w:eastAsia="Times New Roman" w:hAnsi="Times New Roman" w:cs="Times New Roman"/>
          <w:i/>
          <w:sz w:val="24"/>
          <w:szCs w:val="24"/>
        </w:rPr>
        <w:t>M</w:t>
      </w:r>
      <w:r w:rsidR="00A5778C">
        <w:rPr>
          <w:rFonts w:ascii="Times New Roman" w:eastAsia="Times New Roman" w:hAnsi="Times New Roman" w:cs="Times New Roman"/>
          <w:i/>
          <w:sz w:val="24"/>
          <w:szCs w:val="24"/>
        </w:rPr>
        <w:t xml:space="preserve">age </w:t>
      </w:r>
      <w:r w:rsidRPr="27C27199">
        <w:rPr>
          <w:rFonts w:ascii="Times New Roman" w:eastAsia="Times New Roman" w:hAnsi="Times New Roman" w:cs="Times New Roman"/>
          <w:sz w:val="24"/>
          <w:szCs w:val="24"/>
        </w:rPr>
        <w:t xml:space="preserve">= 24.90, </w:t>
      </w:r>
      <w:r w:rsidRPr="000411DE">
        <w:rPr>
          <w:rFonts w:ascii="Times New Roman" w:eastAsia="Times New Roman" w:hAnsi="Times New Roman" w:cs="Times New Roman"/>
          <w:i/>
          <w:sz w:val="24"/>
          <w:szCs w:val="24"/>
        </w:rPr>
        <w:t>SD</w:t>
      </w:r>
      <w:r w:rsidRPr="27C27199">
        <w:rPr>
          <w:rFonts w:ascii="Times New Roman" w:eastAsia="Times New Roman" w:hAnsi="Times New Roman" w:cs="Times New Roman"/>
          <w:sz w:val="24"/>
          <w:szCs w:val="24"/>
        </w:rPr>
        <w:t xml:space="preserve">= 3.72) that took </w:t>
      </w:r>
      <w:r w:rsidR="000411DE">
        <w:rPr>
          <w:rFonts w:ascii="Times New Roman" w:eastAsia="Times New Roman" w:hAnsi="Times New Roman" w:cs="Times New Roman"/>
          <w:sz w:val="24"/>
          <w:szCs w:val="24"/>
        </w:rPr>
        <w:t xml:space="preserve">and completed </w:t>
      </w:r>
      <w:r w:rsidRPr="27C27199">
        <w:rPr>
          <w:rFonts w:ascii="Times New Roman" w:eastAsia="Times New Roman" w:hAnsi="Times New Roman" w:cs="Times New Roman"/>
          <w:sz w:val="24"/>
          <w:szCs w:val="24"/>
        </w:rPr>
        <w:t>at least one graduate course in finance, economics or business. SSF were recruited from the Henley Business School and the International Capital Market Association Centre (ICMA) at</w:t>
      </w:r>
      <w:r w:rsidR="000A0517">
        <w:rPr>
          <w:rFonts w:ascii="Times New Roman" w:eastAsia="Times New Roman" w:hAnsi="Times New Roman" w:cs="Times New Roman"/>
          <w:sz w:val="24"/>
          <w:szCs w:val="24"/>
        </w:rPr>
        <w:t xml:space="preserve"> the</w:t>
      </w:r>
      <w:r w:rsidRPr="27C27199">
        <w:rPr>
          <w:rFonts w:ascii="Times New Roman" w:eastAsia="Times New Roman" w:hAnsi="Times New Roman" w:cs="Times New Roman"/>
          <w:sz w:val="24"/>
          <w:szCs w:val="24"/>
        </w:rPr>
        <w:t xml:space="preserve"> University of Reading. Participants received £5 each for taking part in the experiment and the opportunity to win up to £20 depending on the points collected in the BIAS task (Kuhnen &amp; Knutson, 2005). The study has received </w:t>
      </w:r>
      <w:r w:rsidR="000411DE" w:rsidRPr="27C27199">
        <w:rPr>
          <w:rFonts w:ascii="Times New Roman" w:eastAsia="Times New Roman" w:hAnsi="Times New Roman" w:cs="Times New Roman"/>
          <w:sz w:val="24"/>
          <w:szCs w:val="24"/>
        </w:rPr>
        <w:t>favo</w:t>
      </w:r>
      <w:r w:rsidR="000411DE">
        <w:rPr>
          <w:rFonts w:ascii="Times New Roman" w:eastAsia="Times New Roman" w:hAnsi="Times New Roman" w:cs="Times New Roman"/>
          <w:sz w:val="24"/>
          <w:szCs w:val="24"/>
        </w:rPr>
        <w:t>r</w:t>
      </w:r>
      <w:r w:rsidR="000411DE" w:rsidRPr="27C27199">
        <w:rPr>
          <w:rFonts w:ascii="Times New Roman" w:eastAsia="Times New Roman" w:hAnsi="Times New Roman" w:cs="Times New Roman"/>
          <w:sz w:val="24"/>
          <w:szCs w:val="24"/>
        </w:rPr>
        <w:t>able</w:t>
      </w:r>
      <w:r w:rsidRPr="27C27199">
        <w:rPr>
          <w:rFonts w:ascii="Times New Roman" w:eastAsia="Times New Roman" w:hAnsi="Times New Roman" w:cs="Times New Roman"/>
          <w:sz w:val="24"/>
          <w:szCs w:val="24"/>
        </w:rPr>
        <w:t xml:space="preserve"> consent by the Ethical Committee of the School of Psychology and Language Science (University of Reading).</w:t>
      </w:r>
    </w:p>
    <w:p w14:paraId="4ECDB02E" w14:textId="77777777" w:rsidR="0075656F" w:rsidRPr="00EB0171" w:rsidRDefault="0075656F" w:rsidP="00EB0171">
      <w:pPr>
        <w:pStyle w:val="Default"/>
        <w:spacing w:line="480" w:lineRule="auto"/>
        <w:rPr>
          <w:rFonts w:ascii="Times New Roman" w:hAnsi="Times New Roman"/>
          <w:sz w:val="24"/>
          <w:szCs w:val="24"/>
        </w:rPr>
      </w:pPr>
    </w:p>
    <w:p w14:paraId="43ECAA34" w14:textId="77777777" w:rsidR="00EF34D5" w:rsidRDefault="27C27199" w:rsidP="27C27199">
      <w:pPr>
        <w:pStyle w:val="Default"/>
        <w:suppressLineNumbers/>
        <w:spacing w:line="480" w:lineRule="auto"/>
        <w:rPr>
          <w:rFonts w:ascii="Cambria" w:eastAsia="Cambria" w:hAnsi="Cambria" w:cs="Cambria"/>
          <w:b/>
          <w:bCs/>
          <w:sz w:val="24"/>
          <w:szCs w:val="24"/>
        </w:rPr>
      </w:pPr>
      <w:r w:rsidRPr="27C27199">
        <w:rPr>
          <w:rFonts w:ascii="Cambria" w:eastAsia="Cambria" w:hAnsi="Cambria" w:cs="Cambria"/>
          <w:b/>
          <w:bCs/>
          <w:sz w:val="24"/>
          <w:szCs w:val="24"/>
        </w:rPr>
        <w:t xml:space="preserve">Materials </w:t>
      </w:r>
    </w:p>
    <w:p w14:paraId="694A7065" w14:textId="77777777" w:rsidR="00EF34D5" w:rsidRPr="00FD7790" w:rsidRDefault="27C27199" w:rsidP="27C27199">
      <w:pPr>
        <w:pStyle w:val="Default"/>
        <w:suppressLineNumbers/>
        <w:spacing w:line="480" w:lineRule="auto"/>
        <w:rPr>
          <w:rFonts w:ascii="Times New Roman" w:eastAsia="Times New Roman" w:hAnsi="Times New Roman" w:cs="Times New Roman"/>
          <w:b/>
          <w:bCs/>
          <w:i/>
          <w:iCs/>
          <w:sz w:val="24"/>
          <w:szCs w:val="24"/>
        </w:rPr>
      </w:pPr>
      <w:r w:rsidRPr="27C27199">
        <w:rPr>
          <w:rFonts w:ascii="Times New Roman" w:eastAsia="Times New Roman" w:hAnsi="Times New Roman" w:cs="Times New Roman"/>
          <w:b/>
          <w:bCs/>
          <w:i/>
          <w:iCs/>
          <w:sz w:val="24"/>
          <w:szCs w:val="24"/>
        </w:rPr>
        <w:t>The BART Task</w:t>
      </w:r>
    </w:p>
    <w:p w14:paraId="67C6B4EC" w14:textId="7839C051" w:rsidR="00EF34D5" w:rsidRDefault="000818E7" w:rsidP="27C27199">
      <w:pPr>
        <w:pStyle w:val="Default"/>
        <w:spacing w:line="480" w:lineRule="auto"/>
        <w:rPr>
          <w:rFonts w:ascii="Times New Roman" w:eastAsia="Times New Roman" w:hAnsi="Times New Roman" w:cs="Times New Roman"/>
          <w:sz w:val="24"/>
          <w:szCs w:val="24"/>
        </w:rPr>
      </w:pPr>
      <w:r w:rsidRPr="00EF7EC7">
        <w:rPr>
          <w:rFonts w:ascii="Times New Roman" w:eastAsia="Times New Roman" w:hAnsi="Times New Roman" w:cs="Times New Roman"/>
          <w:sz w:val="24"/>
          <w:szCs w:val="24"/>
        </w:rPr>
        <w:t xml:space="preserve">The main aim of </w:t>
      </w:r>
      <w:r w:rsidR="0028797C" w:rsidRPr="00EF7EC7">
        <w:rPr>
          <w:rFonts w:ascii="Times New Roman" w:eastAsia="Times New Roman" w:hAnsi="Times New Roman" w:cs="Times New Roman"/>
          <w:sz w:val="24"/>
          <w:szCs w:val="24"/>
        </w:rPr>
        <w:t>the BART</w:t>
      </w:r>
      <w:r w:rsidR="27C27199" w:rsidRPr="00EF7EC7">
        <w:rPr>
          <w:rFonts w:ascii="Times New Roman" w:eastAsia="Times New Roman" w:hAnsi="Times New Roman" w:cs="Times New Roman"/>
          <w:sz w:val="24"/>
          <w:szCs w:val="24"/>
        </w:rPr>
        <w:t xml:space="preserve"> </w:t>
      </w:r>
      <w:r w:rsidRPr="00EF7EC7">
        <w:rPr>
          <w:rFonts w:ascii="Times New Roman" w:eastAsia="Times New Roman" w:hAnsi="Times New Roman" w:cs="Times New Roman"/>
          <w:sz w:val="24"/>
          <w:szCs w:val="24"/>
        </w:rPr>
        <w:t xml:space="preserve">is </w:t>
      </w:r>
      <w:r w:rsidR="27C27199" w:rsidRPr="00EF7EC7">
        <w:rPr>
          <w:rFonts w:ascii="Times New Roman" w:eastAsia="Times New Roman" w:hAnsi="Times New Roman" w:cs="Times New Roman"/>
          <w:sz w:val="24"/>
          <w:szCs w:val="24"/>
        </w:rPr>
        <w:t>to assess participants’ personal attitude towards risk</w:t>
      </w:r>
      <w:r w:rsidR="002B44C8" w:rsidRPr="00EF7EC7">
        <w:rPr>
          <w:rFonts w:ascii="Times New Roman" w:eastAsia="Times New Roman" w:hAnsi="Times New Roman" w:cs="Times New Roman"/>
          <w:sz w:val="24"/>
          <w:szCs w:val="24"/>
        </w:rPr>
        <w:t xml:space="preserve"> </w:t>
      </w:r>
      <w:r w:rsidR="002B44C8" w:rsidRPr="00EF7EC7">
        <w:rPr>
          <w:rFonts w:ascii="Times New Roman" w:eastAsia="Times New Roman" w:hAnsi="Times New Roman" w:cs="Times New Roman"/>
          <w:sz w:val="24"/>
          <w:szCs w:val="24"/>
        </w:rPr>
        <w:fldChar w:fldCharType="begin" w:fldLock="1"/>
      </w:r>
      <w:r w:rsidR="002B44C8" w:rsidRPr="00EF7EC7">
        <w:rPr>
          <w:rFonts w:ascii="Times New Roman" w:eastAsia="Times New Roman" w:hAnsi="Times New Roman" w:cs="Times New Roman"/>
          <w:sz w:val="24"/>
          <w:szCs w:val="24"/>
        </w:rPr>
        <w:instrText>ADDIN CSL_CITATION { "citationItems" : [ { "id" : "ITEM-1", "itemData" : { "DOI" : "10.1037//1076-898x.8.2.75", "ISBN" : "1076-898X", "author" : [ { "dropping-particle" : "", "family" : "Lejuez", "given" : "C W", "non-dropping-particle" : "", "parse-names" : false, "suffix" : "" }, { "dropping-particle" : "", "family" : "Read", "given" : "Jennifer P", "non-dropping-particle" : "", "parse-names" : false, "suffix" : "" }, { "dropping-particle" : "", "family" : "Kahler", "given" : "Christopher W", "non-dropping-particle" : "", "parse-names" : false, "suffix" : "" }, { "dropping-particle" : "", "family" : "Richards", "given" : "Jerry B", "non-dropping-particle" : "", "parse-names" : false, "suffix" : "" }, { "dropping-particle" : "", "family" : "Ramsey", "given" : "Susan E", "non-dropping-particle" : "", "parse-names" : false, "suffix" : "" }, { "dropping-particle" : "", "family" : "Stuart", "given" : "Gregory L", "non-dropping-particle" : "", "parse-names" : false, "suffix" : "" }, { "dropping-particle" : "", "family" : "Strong", "given" : "David R", "non-dropping-particle" : "", "parse-names" : false, "suffix" : "" }, { "dropping-particle" : "", "family" : "Brown", "given" : "Richard A", "non-dropping-particle" : "", "parse-names" : false, "suffix" : "" } ], "container-title" : "Journal of Experimental Psychology: Applied", "id" : "ITEM-1", "issue" : "2", "issued" : { "date-parts" : [ [ "2002" ] ] }, "page" : "75-84", "title" : "Evaluation of a behavioral measure of risk taking: The Balloon Analogue Risk Task (BART)", "type" : "article-journal", "volume" : "8" }, "uris" : [ "http://www.mendeley.com/documents/?uuid=4a356ec5-0075-49f1-9d01-0fe1c45c49d4" ] } ], "mendeley" : { "formattedCitation" : "(Lejuez et al., 2002)", "plainTextFormattedCitation" : "(Lejuez et al., 2002)", "previouslyFormattedCitation" : "(Lejuez et al., 2002)" }, "properties" : {  }, "schema" : "https://github.com/citation-style-language/schema/raw/master/csl-citation.json" }</w:instrText>
      </w:r>
      <w:r w:rsidR="002B44C8" w:rsidRPr="00EF7EC7">
        <w:rPr>
          <w:rFonts w:ascii="Times New Roman" w:eastAsia="Times New Roman" w:hAnsi="Times New Roman" w:cs="Times New Roman"/>
          <w:sz w:val="24"/>
          <w:szCs w:val="24"/>
        </w:rPr>
        <w:fldChar w:fldCharType="separate"/>
      </w:r>
      <w:r w:rsidR="002B44C8" w:rsidRPr="00EF7EC7">
        <w:rPr>
          <w:rFonts w:ascii="Times New Roman" w:eastAsia="Times New Roman" w:hAnsi="Times New Roman" w:cs="Times New Roman"/>
          <w:noProof/>
          <w:sz w:val="24"/>
          <w:szCs w:val="24"/>
        </w:rPr>
        <w:t>(Lejuez et al., 2002)</w:t>
      </w:r>
      <w:r w:rsidR="002B44C8" w:rsidRPr="00EF7EC7">
        <w:rPr>
          <w:rFonts w:ascii="Times New Roman" w:eastAsia="Times New Roman" w:hAnsi="Times New Roman" w:cs="Times New Roman"/>
          <w:sz w:val="24"/>
          <w:szCs w:val="24"/>
        </w:rPr>
        <w:fldChar w:fldCharType="end"/>
      </w:r>
      <w:r w:rsidR="27C27199" w:rsidRPr="00EF7EC7">
        <w:rPr>
          <w:rFonts w:ascii="Times New Roman" w:eastAsia="Times New Roman" w:hAnsi="Times New Roman" w:cs="Times New Roman"/>
          <w:sz w:val="24"/>
          <w:szCs w:val="24"/>
        </w:rPr>
        <w:t xml:space="preserve">. </w:t>
      </w:r>
      <w:r w:rsidRPr="00EF7EC7">
        <w:rPr>
          <w:rFonts w:ascii="Times New Roman" w:eastAsia="Times New Roman" w:hAnsi="Times New Roman" w:cs="Times New Roman"/>
          <w:sz w:val="24"/>
          <w:szCs w:val="24"/>
        </w:rPr>
        <w:t xml:space="preserve">However, this definition might be controversial and lead to misinterpretation. Precisely, in a financial context the term “risk” is generally used when the probabilities of the various outcomes are known. On the other hand, when probabilities are unknown, the situation is ambiguous and not risky. Hence, </w:t>
      </w:r>
      <w:r w:rsidR="00383B7A" w:rsidRPr="00EF7EC7">
        <w:rPr>
          <w:rFonts w:ascii="Times New Roman" w:eastAsia="Times New Roman" w:hAnsi="Times New Roman" w:cs="Times New Roman"/>
          <w:sz w:val="24"/>
          <w:szCs w:val="24"/>
        </w:rPr>
        <w:t xml:space="preserve">since </w:t>
      </w:r>
      <w:r w:rsidRPr="00EF7EC7">
        <w:rPr>
          <w:rFonts w:ascii="Times New Roman" w:eastAsia="Times New Roman" w:hAnsi="Times New Roman" w:cs="Times New Roman"/>
          <w:sz w:val="24"/>
          <w:szCs w:val="24"/>
        </w:rPr>
        <w:t xml:space="preserve">the BART task, as used in this context, does not inform the participants </w:t>
      </w:r>
      <w:r w:rsidRPr="00EF7EC7">
        <w:rPr>
          <w:rFonts w:ascii="Times New Roman" w:eastAsia="Times New Roman" w:hAnsi="Times New Roman" w:cs="Times New Roman"/>
          <w:sz w:val="24"/>
          <w:szCs w:val="24"/>
        </w:rPr>
        <w:lastRenderedPageBreak/>
        <w:t>about the probabilities that each balloon has to explode</w:t>
      </w:r>
      <w:r w:rsidR="000411DE" w:rsidRPr="00EF7EC7">
        <w:rPr>
          <w:rFonts w:ascii="Times New Roman" w:eastAsia="Times New Roman" w:hAnsi="Times New Roman" w:cs="Times New Roman"/>
          <w:sz w:val="24"/>
          <w:szCs w:val="24"/>
        </w:rPr>
        <w:t>, it fol</w:t>
      </w:r>
      <w:r w:rsidR="0028797C" w:rsidRPr="00EF7EC7">
        <w:rPr>
          <w:rFonts w:ascii="Times New Roman" w:eastAsia="Times New Roman" w:hAnsi="Times New Roman" w:cs="Times New Roman"/>
          <w:sz w:val="24"/>
          <w:szCs w:val="24"/>
        </w:rPr>
        <w:t>lows that in the present study the</w:t>
      </w:r>
      <w:r w:rsidR="000411DE" w:rsidRPr="00EF7EC7">
        <w:rPr>
          <w:rFonts w:ascii="Times New Roman" w:eastAsia="Times New Roman" w:hAnsi="Times New Roman" w:cs="Times New Roman"/>
          <w:sz w:val="24"/>
          <w:szCs w:val="24"/>
        </w:rPr>
        <w:t xml:space="preserve"> BART task was</w:t>
      </w:r>
      <w:r w:rsidR="00383B7A" w:rsidRPr="00EF7EC7">
        <w:rPr>
          <w:rFonts w:ascii="Times New Roman" w:eastAsia="Times New Roman" w:hAnsi="Times New Roman" w:cs="Times New Roman"/>
          <w:sz w:val="24"/>
          <w:szCs w:val="24"/>
        </w:rPr>
        <w:t xml:space="preserve"> used to </w:t>
      </w:r>
      <w:r w:rsidR="00CC1F65" w:rsidRPr="00EF7EC7">
        <w:rPr>
          <w:rFonts w:ascii="Times New Roman" w:eastAsia="Times New Roman" w:hAnsi="Times New Roman" w:cs="Times New Roman"/>
          <w:sz w:val="24"/>
          <w:szCs w:val="24"/>
        </w:rPr>
        <w:t>assess</w:t>
      </w:r>
      <w:r w:rsidR="00712C7C" w:rsidRPr="00EF7EC7">
        <w:rPr>
          <w:rFonts w:ascii="Times New Roman" w:eastAsia="Times New Roman" w:hAnsi="Times New Roman" w:cs="Times New Roman"/>
          <w:sz w:val="24"/>
          <w:szCs w:val="24"/>
        </w:rPr>
        <w:t xml:space="preserve"> </w:t>
      </w:r>
      <w:r w:rsidR="001D198F" w:rsidRPr="00EF7EC7">
        <w:rPr>
          <w:rFonts w:ascii="Times New Roman" w:eastAsia="Times New Roman" w:hAnsi="Times New Roman" w:cs="Times New Roman"/>
          <w:sz w:val="24"/>
          <w:szCs w:val="24"/>
        </w:rPr>
        <w:t>differences between group</w:t>
      </w:r>
      <w:r w:rsidR="00712C7C" w:rsidRPr="00EF7EC7">
        <w:rPr>
          <w:rFonts w:ascii="Times New Roman" w:eastAsia="Times New Roman" w:hAnsi="Times New Roman" w:cs="Times New Roman"/>
          <w:sz w:val="24"/>
          <w:szCs w:val="24"/>
        </w:rPr>
        <w:t>s</w:t>
      </w:r>
      <w:r w:rsidR="001D198F" w:rsidRPr="00EF7EC7">
        <w:rPr>
          <w:rFonts w:ascii="Times New Roman" w:eastAsia="Times New Roman" w:hAnsi="Times New Roman" w:cs="Times New Roman"/>
          <w:sz w:val="24"/>
          <w:szCs w:val="24"/>
        </w:rPr>
        <w:t xml:space="preserve"> in their</w:t>
      </w:r>
      <w:r w:rsidR="00CC1F65" w:rsidRPr="00EF7EC7">
        <w:rPr>
          <w:rFonts w:ascii="Times New Roman" w:eastAsia="Times New Roman" w:hAnsi="Times New Roman" w:cs="Times New Roman"/>
          <w:sz w:val="24"/>
          <w:szCs w:val="24"/>
        </w:rPr>
        <w:t xml:space="preserve"> attitude towards ambiguity and uncertainty</w:t>
      </w:r>
      <w:r w:rsidRPr="00EF7EC7">
        <w:rPr>
          <w:rFonts w:ascii="Times New Roman" w:eastAsia="Times New Roman" w:hAnsi="Times New Roman" w:cs="Times New Roman"/>
          <w:sz w:val="24"/>
          <w:szCs w:val="24"/>
        </w:rPr>
        <w:t>.</w:t>
      </w:r>
      <w:r w:rsidR="001D198F" w:rsidRPr="00EF7EC7">
        <w:rPr>
          <w:rFonts w:ascii="Times New Roman" w:eastAsia="Times New Roman" w:hAnsi="Times New Roman" w:cs="Times New Roman"/>
          <w:sz w:val="24"/>
          <w:szCs w:val="24"/>
        </w:rPr>
        <w:t xml:space="preserve"> </w:t>
      </w:r>
      <w:r w:rsidR="27C27199" w:rsidRPr="00EF7EC7">
        <w:rPr>
          <w:rFonts w:ascii="Times New Roman" w:eastAsia="Times New Roman" w:hAnsi="Times New Roman" w:cs="Times New Roman"/>
          <w:sz w:val="24"/>
          <w:szCs w:val="24"/>
        </w:rPr>
        <w:t>Participants were asked to inflate (through a keyboard press) thirty balloons with different probabilities of exploding. They earned 10 points per pump every time they inflated a balloon without popping it and 0 points if the balloon exploded.</w:t>
      </w:r>
      <w:r w:rsidR="27C27199" w:rsidRPr="27C27199">
        <w:rPr>
          <w:rFonts w:ascii="Times New Roman" w:eastAsia="Times New Roman" w:hAnsi="Times New Roman" w:cs="Times New Roman"/>
          <w:sz w:val="24"/>
          <w:szCs w:val="24"/>
        </w:rPr>
        <w:t xml:space="preserve"> </w:t>
      </w:r>
    </w:p>
    <w:p w14:paraId="4D17A098" w14:textId="77777777" w:rsidR="00EF34D5" w:rsidRDefault="00EF34D5" w:rsidP="00EF34D5">
      <w:pPr>
        <w:pStyle w:val="Default"/>
        <w:suppressLineNumbers/>
        <w:spacing w:line="480" w:lineRule="auto"/>
        <w:rPr>
          <w:rFonts w:ascii="Times New Roman" w:hAnsi="Times New Roman"/>
          <w:sz w:val="24"/>
          <w:szCs w:val="24"/>
        </w:rPr>
      </w:pPr>
    </w:p>
    <w:p w14:paraId="1E78BF69" w14:textId="77777777" w:rsidR="00EF34D5" w:rsidRPr="00FD7790" w:rsidRDefault="27C27199" w:rsidP="27C27199">
      <w:pPr>
        <w:pStyle w:val="Default"/>
        <w:suppressLineNumbers/>
        <w:spacing w:line="480" w:lineRule="auto"/>
        <w:rPr>
          <w:rFonts w:ascii="Times New Roman" w:eastAsia="Times New Roman" w:hAnsi="Times New Roman" w:cs="Times New Roman"/>
          <w:b/>
          <w:bCs/>
          <w:i/>
          <w:iCs/>
          <w:sz w:val="24"/>
          <w:szCs w:val="24"/>
        </w:rPr>
      </w:pPr>
      <w:r w:rsidRPr="27C27199">
        <w:rPr>
          <w:rFonts w:ascii="Times New Roman" w:eastAsia="Times New Roman" w:hAnsi="Times New Roman" w:cs="Times New Roman"/>
          <w:b/>
          <w:bCs/>
          <w:sz w:val="24"/>
          <w:szCs w:val="24"/>
        </w:rPr>
        <w:t xml:space="preserve"> </w:t>
      </w:r>
      <w:r w:rsidRPr="27C27199">
        <w:rPr>
          <w:rFonts w:ascii="Times New Roman" w:eastAsia="Times New Roman" w:hAnsi="Times New Roman" w:cs="Times New Roman"/>
          <w:b/>
          <w:bCs/>
          <w:i/>
          <w:iCs/>
          <w:sz w:val="24"/>
          <w:szCs w:val="24"/>
        </w:rPr>
        <w:t>The BIAS task</w:t>
      </w:r>
    </w:p>
    <w:p w14:paraId="1953F0F8" w14:textId="77777777" w:rsidR="00771BAA"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The BIAS task represents a computerized simulation of the real trading scenario.</w:t>
      </w:r>
      <w:r w:rsidRPr="27C27199">
        <w:rPr>
          <w:sz w:val="23"/>
          <w:szCs w:val="23"/>
        </w:rPr>
        <w:t xml:space="preserve"> </w:t>
      </w:r>
      <w:r w:rsidRPr="27C27199">
        <w:rPr>
          <w:rFonts w:ascii="Times New Roman" w:eastAsia="Times New Roman" w:hAnsi="Times New Roman" w:cs="Times New Roman"/>
          <w:sz w:val="24"/>
          <w:szCs w:val="24"/>
        </w:rPr>
        <w:t>In this version of the BIAS task participants completed a total of 180 investment decisions, broken down into 18 blocks of 10 trials each. Each trial involved choosing between a bond (represented by a circle with 100% probability of winning £1) and two stocks (represented by a triangle and a square). At the beginning of each block, the computer randomly assigned the triangle and square as either a good stock (50% +£</w:t>
      </w:r>
      <w:r w:rsidRPr="27C27199">
        <w:rPr>
          <w:rFonts w:ascii="Times New Roman" w:eastAsia="Times New Roman" w:hAnsi="Times New Roman" w:cs="Times New Roman"/>
          <w:sz w:val="24"/>
          <w:szCs w:val="24"/>
          <w:lang w:val="pt-PT"/>
        </w:rPr>
        <w:t xml:space="preserve">10, 30% </w:t>
      </w:r>
      <w:r w:rsidRPr="27C27199">
        <w:rPr>
          <w:rFonts w:ascii="Times New Roman" w:eastAsia="Times New Roman" w:hAnsi="Times New Roman" w:cs="Times New Roman"/>
          <w:sz w:val="24"/>
          <w:szCs w:val="24"/>
        </w:rPr>
        <w:t>£0, and 20% –£10) or a bad stock (50% –£</w:t>
      </w:r>
      <w:r w:rsidRPr="27C27199">
        <w:rPr>
          <w:rFonts w:ascii="Times New Roman" w:eastAsia="Times New Roman" w:hAnsi="Times New Roman" w:cs="Times New Roman"/>
          <w:sz w:val="24"/>
          <w:szCs w:val="24"/>
          <w:lang w:val="pt-PT"/>
        </w:rPr>
        <w:t xml:space="preserve">10, 30% </w:t>
      </w:r>
      <w:r w:rsidRPr="27C27199">
        <w:rPr>
          <w:rFonts w:ascii="Times New Roman" w:eastAsia="Times New Roman" w:hAnsi="Times New Roman" w:cs="Times New Roman"/>
          <w:sz w:val="24"/>
          <w:szCs w:val="24"/>
        </w:rPr>
        <w:t xml:space="preserve">£0, 20% +£10). </w:t>
      </w:r>
      <w:r w:rsidRPr="00706032">
        <w:rPr>
          <w:rFonts w:ascii="Times New Roman" w:eastAsia="Times New Roman" w:hAnsi="Times New Roman" w:cs="Times New Roman"/>
          <w:sz w:val="24"/>
          <w:szCs w:val="24"/>
        </w:rPr>
        <w:t>Furthermore, each participant was informed of the above probabilities at the beginning of the task.</w:t>
      </w:r>
    </w:p>
    <w:p w14:paraId="44501B0F" w14:textId="248C55C8" w:rsidR="00EF34D5"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The aim of the task was for participants to earn as much money as they could by discovering and betting on the good stock in each block. For each trial, the objective probability and level of uncertainty were </w:t>
      </w:r>
      <w:r w:rsidRPr="27C27199">
        <w:rPr>
          <w:rFonts w:ascii="Times New Roman" w:eastAsia="Times New Roman" w:hAnsi="Times New Roman" w:cs="Times New Roman"/>
          <w:sz w:val="24"/>
          <w:szCs w:val="24"/>
        </w:rPr>
        <w:lastRenderedPageBreak/>
        <w:t>computed using Bayes</w:t>
      </w:r>
      <w:r w:rsidR="007C240E">
        <w:rPr>
          <w:rFonts w:ascii="Times New Roman" w:eastAsia="Times New Roman" w:hAnsi="Times New Roman" w:cs="Times New Roman"/>
          <w:sz w:val="24"/>
          <w:szCs w:val="24"/>
        </w:rPr>
        <w:t>ian</w:t>
      </w:r>
      <w:r w:rsidRPr="27C27199">
        <w:rPr>
          <w:rFonts w:ascii="Times New Roman" w:eastAsia="Times New Roman" w:hAnsi="Times New Roman" w:cs="Times New Roman"/>
          <w:sz w:val="24"/>
          <w:szCs w:val="24"/>
        </w:rPr>
        <w:t xml:space="preserve"> rule in order to calculate optimal and suboptimal choices (risk-seeking and risk-averse behavior).</w:t>
      </w:r>
    </w:p>
    <w:p w14:paraId="502AD46E" w14:textId="77777777" w:rsidR="00EF34D5"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A correct answer (or optimal choice) occurs when: 1) if the level of uncertainty on trial</w:t>
      </w:r>
      <w:r w:rsidRPr="27C27199">
        <w:rPr>
          <w:rFonts w:ascii="Times New Roman" w:eastAsia="Times New Roman" w:hAnsi="Times New Roman" w:cs="Times New Roman"/>
          <w:sz w:val="24"/>
          <w:szCs w:val="24"/>
          <w:vertAlign w:val="subscript"/>
        </w:rPr>
        <w:t>i</w:t>
      </w:r>
      <w:r w:rsidRPr="27C27199">
        <w:rPr>
          <w:rFonts w:ascii="Times New Roman" w:eastAsia="Times New Roman" w:hAnsi="Times New Roman" w:cs="Times New Roman"/>
          <w:sz w:val="24"/>
          <w:szCs w:val="24"/>
        </w:rPr>
        <w:t xml:space="preserve"> is &gt; 0.67 and the participants chose a bond (otherwise he/she commits a RSM); 2) if the level of uncertainty on trial</w:t>
      </w:r>
      <w:r w:rsidRPr="27C27199">
        <w:rPr>
          <w:rFonts w:ascii="Times New Roman" w:eastAsia="Times New Roman" w:hAnsi="Times New Roman" w:cs="Times New Roman"/>
          <w:sz w:val="24"/>
          <w:szCs w:val="24"/>
          <w:vertAlign w:val="subscript"/>
        </w:rPr>
        <w:t>i</w:t>
      </w:r>
      <w:r w:rsidRPr="27C27199">
        <w:rPr>
          <w:rFonts w:ascii="Times New Roman" w:eastAsia="Times New Roman" w:hAnsi="Times New Roman" w:cs="Times New Roman"/>
          <w:sz w:val="24"/>
          <w:szCs w:val="24"/>
        </w:rPr>
        <w:t xml:space="preserve"> is &lt; 0.67 and the participants chose the good stock (otherwise he/she commits a RAM). A confusion mistake occurs if the level of uncertainty on trial</w:t>
      </w:r>
      <w:r w:rsidRPr="27C27199">
        <w:rPr>
          <w:rFonts w:ascii="Times New Roman" w:eastAsia="Times New Roman" w:hAnsi="Times New Roman" w:cs="Times New Roman"/>
          <w:sz w:val="24"/>
          <w:szCs w:val="24"/>
          <w:vertAlign w:val="subscript"/>
        </w:rPr>
        <w:t>i</w:t>
      </w:r>
      <w:r w:rsidRPr="27C27199">
        <w:rPr>
          <w:rFonts w:ascii="Times New Roman" w:eastAsia="Times New Roman" w:hAnsi="Times New Roman" w:cs="Times New Roman"/>
          <w:sz w:val="24"/>
          <w:szCs w:val="24"/>
        </w:rPr>
        <w:t xml:space="preserve"> is &lt; 0.67 and the participants chose the bad stock instead of the good stock, because they “confound” the good stock with the bad stock.</w:t>
      </w:r>
    </w:p>
    <w:p w14:paraId="0F55F3F4" w14:textId="0BF10F54" w:rsidR="00EF34D5" w:rsidRDefault="00EF34D5" w:rsidP="27C27199">
      <w:pPr>
        <w:rPr>
          <w:lang w:eastAsia="en-GB"/>
        </w:rPr>
      </w:pPr>
    </w:p>
    <w:p w14:paraId="6F7C8F4F" w14:textId="7542C775" w:rsidR="00EF34D5" w:rsidRDefault="00A0728B" w:rsidP="00EF34D5">
      <w:pPr>
        <w:rPr>
          <w:lang w:eastAsia="en-GB"/>
        </w:rPr>
      </w:pPr>
      <w:r>
        <w:rPr>
          <w:rFonts w:ascii="Arial" w:hAnsi="Arial" w:cs="Arial"/>
          <w:noProof/>
          <w:color w:val="000000"/>
          <w:lang w:val="en-GB" w:eastAsia="en-GB"/>
        </w:rPr>
        <w:drawing>
          <wp:inline distT="0" distB="0" distL="0" distR="0" wp14:anchorId="2ADE357C" wp14:editId="020D1CB1">
            <wp:extent cx="4829175" cy="2622000"/>
            <wp:effectExtent l="0" t="0" r="0" b="6985"/>
            <wp:docPr id="1" name="Picture 1" descr="https://lh6.googleusercontent.com/gBtp-jWIEf5EoUTZavaAXLTvRnhFpY_WjAlz6JxCrClMmEGo3sr3h2daIilHln58jezEvDD3awOheLtd3ghz6jqbCif3ZWIE0c6nLtxXGNmLOtEep6muHGH4uMqWzHyJ-ZYyjI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Btp-jWIEf5EoUTZavaAXLTvRnhFpY_WjAlz6JxCrClMmEGo3sr3h2daIilHln58jezEvDD3awOheLtd3ghz6jqbCif3ZWIE0c6nLtxXGNmLOtEep6muHGH4uMqWzHyJ-ZYyjIu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7158" cy="2626334"/>
                    </a:xfrm>
                    <a:prstGeom prst="rect">
                      <a:avLst/>
                    </a:prstGeom>
                    <a:noFill/>
                    <a:ln>
                      <a:noFill/>
                    </a:ln>
                  </pic:spPr>
                </pic:pic>
              </a:graphicData>
            </a:graphic>
          </wp:inline>
        </w:drawing>
      </w:r>
    </w:p>
    <w:p w14:paraId="1892C855" w14:textId="5DB326D3" w:rsidR="00EF34D5" w:rsidRPr="00617B76" w:rsidRDefault="00A0728B" w:rsidP="27C27199">
      <w:pPr>
        <w:rPr>
          <w:i/>
          <w:iCs/>
          <w:lang w:eastAsia="en-GB"/>
        </w:rPr>
      </w:pPr>
      <w:r w:rsidRPr="00A0728B">
        <w:rPr>
          <w:i/>
          <w:iCs/>
          <w:lang w:eastAsia="en-GB"/>
        </w:rPr>
        <w:t>Figure 1. Example of a trial of the Behavioral Investment Allocation Strategy task.</w:t>
      </w:r>
    </w:p>
    <w:p w14:paraId="521C1774" w14:textId="77777777" w:rsidR="00EF34D5" w:rsidRPr="0024201F" w:rsidRDefault="00EF34D5" w:rsidP="00EF34D5">
      <w:pPr>
        <w:rPr>
          <w:lang w:eastAsia="en-GB"/>
        </w:rPr>
      </w:pPr>
    </w:p>
    <w:p w14:paraId="5376E4A2" w14:textId="77777777" w:rsidR="00EF34D5" w:rsidRDefault="00EF34D5" w:rsidP="00EF34D5">
      <w:pPr>
        <w:pStyle w:val="Default"/>
        <w:spacing w:line="480" w:lineRule="auto"/>
        <w:rPr>
          <w:rFonts w:ascii="Times New Roman" w:hAnsi="Times New Roman" w:cs="Times New Roman"/>
          <w:sz w:val="24"/>
          <w:szCs w:val="24"/>
        </w:rPr>
      </w:pPr>
    </w:p>
    <w:p w14:paraId="132E0AF3" w14:textId="77777777" w:rsidR="00EF34D5" w:rsidRDefault="00EF34D5" w:rsidP="00EF34D5">
      <w:pPr>
        <w:pStyle w:val="Body"/>
        <w:suppressLineNumbers/>
        <w:spacing w:line="480" w:lineRule="auto"/>
        <w:rPr>
          <w:rFonts w:ascii="Cambria" w:eastAsia="Cambria" w:hAnsi="Cambria" w:cs="Cambria"/>
          <w:b/>
          <w:bCs/>
        </w:rPr>
      </w:pPr>
    </w:p>
    <w:p w14:paraId="6866B590" w14:textId="77777777" w:rsidR="0075656F" w:rsidRDefault="0075656F" w:rsidP="00EF34D5">
      <w:pPr>
        <w:pStyle w:val="Body"/>
        <w:suppressLineNumbers/>
        <w:spacing w:line="480" w:lineRule="auto"/>
        <w:rPr>
          <w:rFonts w:ascii="Cambria" w:eastAsia="Cambria" w:hAnsi="Cambria" w:cs="Cambria"/>
          <w:b/>
          <w:bCs/>
        </w:rPr>
      </w:pPr>
    </w:p>
    <w:p w14:paraId="47503260" w14:textId="77777777" w:rsidR="0075656F" w:rsidRDefault="0075656F" w:rsidP="00EF34D5">
      <w:pPr>
        <w:pStyle w:val="Body"/>
        <w:suppressLineNumbers/>
        <w:spacing w:line="480" w:lineRule="auto"/>
        <w:rPr>
          <w:rFonts w:ascii="Cambria" w:eastAsia="Cambria" w:hAnsi="Cambria" w:cs="Cambria"/>
          <w:b/>
          <w:bCs/>
        </w:rPr>
      </w:pPr>
    </w:p>
    <w:p w14:paraId="2F6919D6" w14:textId="77777777" w:rsidR="004E794C" w:rsidRDefault="004E794C" w:rsidP="27C27199">
      <w:pPr>
        <w:pStyle w:val="Body"/>
        <w:suppressLineNumbers/>
        <w:spacing w:line="480" w:lineRule="auto"/>
        <w:rPr>
          <w:rFonts w:ascii="Cambria" w:eastAsia="Cambria" w:hAnsi="Cambria" w:cs="Cambria"/>
          <w:b/>
          <w:bCs/>
        </w:rPr>
      </w:pPr>
    </w:p>
    <w:p w14:paraId="6AA95747" w14:textId="77777777" w:rsidR="00EF34D5" w:rsidRDefault="27C27199" w:rsidP="27C27199">
      <w:pPr>
        <w:pStyle w:val="Body"/>
        <w:suppressLineNumbers/>
        <w:spacing w:line="480" w:lineRule="auto"/>
        <w:rPr>
          <w:rFonts w:ascii="Cambria" w:eastAsia="Cambria" w:hAnsi="Cambria" w:cs="Cambria"/>
          <w:b/>
          <w:bCs/>
        </w:rPr>
      </w:pPr>
      <w:r w:rsidRPr="27C27199">
        <w:rPr>
          <w:rFonts w:ascii="Cambria" w:eastAsia="Cambria" w:hAnsi="Cambria" w:cs="Cambria"/>
          <w:b/>
          <w:bCs/>
        </w:rPr>
        <w:lastRenderedPageBreak/>
        <w:t>Bayesian certainty calculation</w:t>
      </w:r>
    </w:p>
    <w:p w14:paraId="7D8626CA" w14:textId="77777777" w:rsidR="00EF34D5" w:rsidRPr="00200012"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Every time a participant made a choice, it provided them with additional information to assess which stock was the good one in the current block. The Bayesian model is used here as a model of reference, to compare participants’ choices to those of a risk neutral agent.  By means of the Bayesian rule, we calculated the level of certainty for each trial. During trial </w:t>
      </w:r>
      <w:r w:rsidRPr="27C27199">
        <w:rPr>
          <w:rFonts w:ascii="Times New Roman" w:eastAsia="Times New Roman" w:hAnsi="Times New Roman" w:cs="Times New Roman"/>
          <w:b/>
          <w:bCs/>
          <w:i/>
          <w:iCs/>
          <w:sz w:val="24"/>
          <w:szCs w:val="24"/>
        </w:rPr>
        <w:t>t</w:t>
      </w:r>
      <w:r w:rsidRPr="27C27199">
        <w:rPr>
          <w:rFonts w:ascii="Times New Roman" w:eastAsia="Times New Roman" w:hAnsi="Times New Roman" w:cs="Times New Roman"/>
          <w:sz w:val="24"/>
          <w:szCs w:val="24"/>
        </w:rPr>
        <w:t xml:space="preserve"> in each block, a risk neutral agent should pick a stock only if he/she has enough information and so the level of certainty is more than:</w:t>
      </w:r>
    </w:p>
    <w:p w14:paraId="1E8B1815" w14:textId="77777777" w:rsidR="00EF34D5" w:rsidRPr="00FF73F0"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(1 – (–300%)) / ((300% – (–300%)) = 66.67% (0.67). Risk-averse participants may not pick a stock even if they have more information that this (i.e. a higher level of certainty). Whereas, risk-seeking participants may select the stock even if the level of certainty does not meet this. </w:t>
      </w:r>
    </w:p>
    <w:p w14:paraId="5927AB7A" w14:textId="77777777" w:rsidR="00EF34D5" w:rsidRDefault="00EF34D5" w:rsidP="00EF34D5">
      <w:pPr>
        <w:pStyle w:val="Body"/>
        <w:suppressLineNumbers/>
        <w:spacing w:line="480" w:lineRule="auto"/>
        <w:rPr>
          <w:rFonts w:ascii="Cambria" w:eastAsia="Cambria" w:hAnsi="Cambria" w:cs="Cambria"/>
          <w:b/>
          <w:bCs/>
        </w:rPr>
      </w:pPr>
    </w:p>
    <w:p w14:paraId="61EA5CF5" w14:textId="77777777" w:rsidR="00EF34D5" w:rsidRDefault="27C27199" w:rsidP="27C27199">
      <w:pPr>
        <w:pStyle w:val="Body"/>
        <w:spacing w:line="480" w:lineRule="auto"/>
        <w:rPr>
          <w:rFonts w:ascii="Cambria" w:eastAsia="Cambria" w:hAnsi="Cambria" w:cs="Cambria"/>
          <w:b/>
          <w:bCs/>
        </w:rPr>
      </w:pPr>
      <w:r w:rsidRPr="27C27199">
        <w:rPr>
          <w:rFonts w:ascii="Cambria" w:eastAsia="Cambria" w:hAnsi="Cambria" w:cs="Cambria"/>
          <w:b/>
          <w:bCs/>
        </w:rPr>
        <w:t>Electrophysiological recordings</w:t>
      </w:r>
    </w:p>
    <w:p w14:paraId="76FD0395" w14:textId="77777777" w:rsidR="00EF34D5"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During the BIAS task, HR and SCR signals were simultaneously recorded using a data acquisition system (Power Lab model ML-856, ADInstruments, Colorado Springs, USA) and software programme (LabChart 7.0; ADInstruments).</w:t>
      </w:r>
    </w:p>
    <w:p w14:paraId="637F7080" w14:textId="77777777" w:rsidR="00EF34D5" w:rsidRDefault="00EF34D5" w:rsidP="00EF34D5">
      <w:pPr>
        <w:pStyle w:val="Default"/>
        <w:suppressLineNumbers/>
        <w:spacing w:line="480" w:lineRule="auto"/>
        <w:rPr>
          <w:rFonts w:ascii="Times New Roman" w:hAnsi="Times New Roman"/>
          <w:sz w:val="24"/>
          <w:szCs w:val="24"/>
        </w:rPr>
      </w:pPr>
    </w:p>
    <w:p w14:paraId="2B0BC4A1" w14:textId="77777777" w:rsidR="00EF34D5"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SCR was recorded using two 15 x 20 mm contact area MLT116F GSR finger electrodes attached to the distal phalanges of the index and middle finger on the non-dominant hand. The raw signal was sampled at 1 kHz and digitized with 50 kbits/s precision. The data were selected and </w:t>
      </w:r>
      <w:r w:rsidRPr="27C27199">
        <w:rPr>
          <w:rFonts w:ascii="Times New Roman" w:eastAsia="Times New Roman" w:hAnsi="Times New Roman" w:cs="Times New Roman"/>
          <w:sz w:val="24"/>
          <w:szCs w:val="24"/>
        </w:rPr>
        <w:lastRenderedPageBreak/>
        <w:t xml:space="preserve">filtered on a trial-by-trial basis. SCR refers to the amplitude of the response. </w:t>
      </w:r>
    </w:p>
    <w:p w14:paraId="7D831E10" w14:textId="77777777" w:rsidR="00EF34D5" w:rsidRDefault="00EF34D5" w:rsidP="00EF34D5">
      <w:pPr>
        <w:pStyle w:val="Default"/>
        <w:suppressLineNumbers/>
        <w:spacing w:line="480" w:lineRule="auto"/>
        <w:rPr>
          <w:rFonts w:ascii="Times New Roman" w:hAnsi="Times New Roman"/>
          <w:sz w:val="24"/>
          <w:szCs w:val="24"/>
        </w:rPr>
      </w:pPr>
    </w:p>
    <w:p w14:paraId="2A255A41" w14:textId="77777777" w:rsidR="00EF34D5"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HR was recorded using a 15 mm circular contact area MP100 Pulse transducer attached to the distal phalanges of the ring finger. A raw signal was sampled at 1 kHz and digitized with 24 bit precision. HR variability before and after choices was calculated by identifying R-spikes using automated LabChart 7.0 algorithms.</w:t>
      </w:r>
    </w:p>
    <w:p w14:paraId="76042EA0" w14:textId="77777777" w:rsidR="00EF34D5" w:rsidRDefault="00EF34D5" w:rsidP="00EF34D5">
      <w:pPr>
        <w:pStyle w:val="Default"/>
        <w:suppressLineNumbers/>
        <w:spacing w:line="480" w:lineRule="auto"/>
        <w:rPr>
          <w:rFonts w:ascii="Times New Roman" w:hAnsi="Times New Roman"/>
          <w:sz w:val="24"/>
          <w:szCs w:val="24"/>
        </w:rPr>
      </w:pPr>
    </w:p>
    <w:p w14:paraId="51A0142B" w14:textId="502EE6CD" w:rsidR="00DB7BB2" w:rsidRPr="004E794C" w:rsidRDefault="27C27199" w:rsidP="00DB7BB2">
      <w:pPr>
        <w:pStyle w:val="Default"/>
        <w:spacing w:line="480" w:lineRule="auto"/>
        <w:rPr>
          <w:rFonts w:ascii="Times New Roman" w:eastAsia="Times New Roman" w:hAnsi="Times New Roman" w:cs="Times New Roman"/>
          <w:sz w:val="24"/>
          <w:szCs w:val="24"/>
          <w:lang w:val="en-GB"/>
        </w:rPr>
      </w:pPr>
      <w:r w:rsidRPr="27C27199">
        <w:rPr>
          <w:rFonts w:ascii="Times New Roman" w:eastAsia="Times New Roman" w:hAnsi="Times New Roman" w:cs="Times New Roman"/>
          <w:sz w:val="24"/>
          <w:szCs w:val="24"/>
        </w:rPr>
        <w:t xml:space="preserve">A resting HR was recorded for all participants over a period of 80s before the BIAS task to establish baseline levels and identify any intrinsic differences (task independent) in arousal between the two groups. </w:t>
      </w:r>
      <w:r w:rsidRPr="004E794C">
        <w:rPr>
          <w:rFonts w:ascii="Times New Roman" w:eastAsia="Times New Roman" w:hAnsi="Times New Roman" w:cs="Times New Roman"/>
          <w:sz w:val="24"/>
          <w:szCs w:val="24"/>
        </w:rPr>
        <w:t xml:space="preserve">HR was monitored </w:t>
      </w:r>
      <w:r w:rsidR="00144648" w:rsidRPr="004E794C">
        <w:rPr>
          <w:rFonts w:ascii="Times New Roman" w:eastAsia="Times New Roman" w:hAnsi="Times New Roman" w:cs="Times New Roman"/>
          <w:sz w:val="24"/>
          <w:szCs w:val="24"/>
        </w:rPr>
        <w:t>2</w:t>
      </w:r>
      <w:r w:rsidRPr="004E794C">
        <w:rPr>
          <w:rFonts w:ascii="Times New Roman" w:eastAsia="Times New Roman" w:hAnsi="Times New Roman" w:cs="Times New Roman"/>
          <w:sz w:val="24"/>
          <w:szCs w:val="24"/>
        </w:rPr>
        <w:t>s before</w:t>
      </w:r>
      <w:r w:rsidR="00144648" w:rsidRPr="004E794C">
        <w:rPr>
          <w:rFonts w:ascii="Times New Roman" w:eastAsia="Times New Roman" w:hAnsi="Times New Roman" w:cs="Times New Roman"/>
          <w:sz w:val="24"/>
          <w:szCs w:val="24"/>
        </w:rPr>
        <w:t xml:space="preserve"> and 2s after</w:t>
      </w:r>
      <w:r w:rsidRPr="004E794C">
        <w:rPr>
          <w:rFonts w:ascii="Times New Roman" w:eastAsia="Times New Roman" w:hAnsi="Times New Roman" w:cs="Times New Roman"/>
          <w:sz w:val="24"/>
          <w:szCs w:val="24"/>
        </w:rPr>
        <w:t xml:space="preserve"> each </w:t>
      </w:r>
      <w:r w:rsidR="006D0CBC" w:rsidRPr="004E794C">
        <w:rPr>
          <w:rFonts w:ascii="Times New Roman" w:eastAsia="Times New Roman" w:hAnsi="Times New Roman" w:cs="Times New Roman"/>
          <w:sz w:val="24"/>
          <w:szCs w:val="24"/>
        </w:rPr>
        <w:t xml:space="preserve">choice. </w:t>
      </w:r>
      <w:r w:rsidR="00DB7BB2" w:rsidRPr="004E794C">
        <w:rPr>
          <w:rFonts w:ascii="Times New Roman" w:eastAsia="Times New Roman" w:hAnsi="Times New Roman" w:cs="Times New Roman"/>
          <w:sz w:val="24"/>
          <w:szCs w:val="24"/>
          <w:lang w:val="en-GB"/>
        </w:rPr>
        <w:t xml:space="preserve">HR responses are typically characterized by an initial cardiac deceleration when the stimuli appear on the screen followed by a consequent acceleration from when the decision is taken to immediately after </w:t>
      </w:r>
      <w:r w:rsidR="00F14375" w:rsidRPr="004E794C">
        <w:rPr>
          <w:rFonts w:ascii="Times New Roman" w:eastAsia="Times New Roman" w:hAnsi="Times New Roman" w:cs="Times New Roman"/>
          <w:sz w:val="24"/>
          <w:szCs w:val="24"/>
          <w:lang w:val="en-GB"/>
        </w:rPr>
        <w:fldChar w:fldCharType="begin" w:fldLock="1"/>
      </w:r>
      <w:r w:rsidR="00F14375" w:rsidRPr="004E794C">
        <w:rPr>
          <w:rFonts w:ascii="Times New Roman" w:eastAsia="Times New Roman" w:hAnsi="Times New Roman" w:cs="Times New Roman"/>
          <w:sz w:val="24"/>
          <w:szCs w:val="24"/>
          <w:lang w:val="en-GB"/>
        </w:rPr>
        <w:instrText>ADDIN CSL_CITATION { "citationItems" : [ { "id" : "ITEM-1", "itemData" : { "DOI" : "10.1111/j.1469-8986.2008.00702.x", "ISBN" : "0048-5772 (Print)\\r0048-5772 (Linking)", "ISSN" : "14698986", "PMID" : "18778317", "abstract" : "The foundations of orienting and attention are hypothesized to stem from activation of defensive and appetitive motivational systems that evolved to protect and sustain the life of the individual. Motivational activation initiates a cascade of perceptual and motor processes that facilitate the selection of appropriate behavior. Among these are detection of significance, indexed by a late centro-parietal positivity in the event-related potential, enhanced perceptual processing, indexed by a initial cardiac deceleration, and preparation for action, indexed by electrodermal changes. Data exploring the role of stimulus novelty and significance in orienting are presented that indicate different components of the orienting response habituate at different rates. Taken together, it is suggested that orienting is mediated by activation of fundamental motivational systems that have evolved to support survival.", "author" : [ { "dropping-particle" : "", "family" : "Bradley", "given" : "Margaret M.", "non-dropping-particle" : "", "parse-names" : false, "suffix" : "" } ], "container-title" : "Psychophysiology", "id" : "ITEM-1", "issued" : { "date-parts" : [ [ "2009" ] ] }, "title" : "Natural selective attention: Orienting and emotion", "type" : "paper-conference" }, "uris" : [ "http://www.mendeley.com/documents/?uuid=bb8c3e77-4ebf-3e3c-b87f-807edc1feb90" ] } ], "mendeley" : { "formattedCitation" : "(Bradley, 2009)", "plainTextFormattedCitation" : "(Bradley, 2009)", "previouslyFormattedCitation" : "(Bradley, 2009)" }, "properties" : {  }, "schema" : "https://github.com/citation-style-language/schema/raw/master/csl-citation.json" }</w:instrText>
      </w:r>
      <w:r w:rsidR="00F14375" w:rsidRPr="004E794C">
        <w:rPr>
          <w:rFonts w:ascii="Times New Roman" w:eastAsia="Times New Roman" w:hAnsi="Times New Roman" w:cs="Times New Roman"/>
          <w:sz w:val="24"/>
          <w:szCs w:val="24"/>
          <w:lang w:val="en-GB"/>
        </w:rPr>
        <w:fldChar w:fldCharType="separate"/>
      </w:r>
      <w:r w:rsidR="00F14375" w:rsidRPr="004E794C">
        <w:rPr>
          <w:rFonts w:ascii="Times New Roman" w:eastAsia="Times New Roman" w:hAnsi="Times New Roman" w:cs="Times New Roman"/>
          <w:noProof/>
          <w:sz w:val="24"/>
          <w:szCs w:val="24"/>
          <w:lang w:val="en-GB"/>
        </w:rPr>
        <w:t>(Bradley, 2009)</w:t>
      </w:r>
      <w:r w:rsidR="00F14375" w:rsidRPr="004E794C">
        <w:rPr>
          <w:rFonts w:ascii="Times New Roman" w:eastAsia="Times New Roman" w:hAnsi="Times New Roman" w:cs="Times New Roman"/>
          <w:sz w:val="24"/>
          <w:szCs w:val="24"/>
          <w:lang w:val="en-GB"/>
        </w:rPr>
        <w:fldChar w:fldCharType="end"/>
      </w:r>
      <w:r w:rsidR="00DB7BB2" w:rsidRPr="004E794C">
        <w:rPr>
          <w:rFonts w:ascii="Times New Roman" w:eastAsia="Times New Roman" w:hAnsi="Times New Roman" w:cs="Times New Roman"/>
          <w:sz w:val="24"/>
          <w:szCs w:val="24"/>
          <w:lang w:val="en-GB"/>
        </w:rPr>
        <w:t>.  Specifically, heart rate typically presents with a deceleration in anticipation of a stimulus followed by an acceleratory recovery to baseline</w:t>
      </w:r>
      <w:r w:rsidR="00DB58C1" w:rsidRPr="004E794C">
        <w:rPr>
          <w:rFonts w:ascii="Times New Roman" w:eastAsia="Times New Roman" w:hAnsi="Times New Roman" w:cs="Times New Roman"/>
          <w:sz w:val="24"/>
          <w:szCs w:val="24"/>
          <w:lang w:val="en-GB"/>
        </w:rPr>
        <w:t xml:space="preserve"> </w:t>
      </w:r>
      <w:r w:rsidR="00DB58C1" w:rsidRPr="004E794C">
        <w:rPr>
          <w:rFonts w:ascii="Times New Roman" w:eastAsia="Times New Roman" w:hAnsi="Times New Roman" w:cs="Times New Roman"/>
          <w:sz w:val="24"/>
          <w:szCs w:val="24"/>
          <w:lang w:val="en-GB"/>
        </w:rPr>
        <w:fldChar w:fldCharType="begin" w:fldLock="1"/>
      </w:r>
      <w:r w:rsidR="00DB58C1" w:rsidRPr="004E794C">
        <w:rPr>
          <w:rFonts w:ascii="Times New Roman" w:eastAsia="Times New Roman" w:hAnsi="Times New Roman" w:cs="Times New Roman"/>
          <w:sz w:val="24"/>
          <w:szCs w:val="24"/>
          <w:lang w:val="en-GB"/>
        </w:rPr>
        <w:instrText>ADDIN CSL_CITATION { "citationItems" : [ { "id" : "ITEM-1", "itemData" : { "DOI" : "10.1007/s00426-002-0106-5", "ISBN" : "0340-0727\\r1430-2772", "ISSN" : "03400727", "PMID" : "12466930", "abstract" : "The central control of information processing necessarily entails a selection between actions that are implicit in different processing streams. We argue that this selection for action also adjusts the autonomic support for action. When actions are transiently undefined during the transition between actions, the time between heartbeats increases (heart rate transiently slows). This is particularly clear when actions are imminent but their identity is undefined, e.g. due to a delay while prepotent actions are inhibited in order to map a required action. We review results from a number of experiments supporting this perspective. These results suggest that central inhibition of representations of action influences heartbeat timing as well as more peripheral inhibition of overt responses. Given that inhibitory processes characteristic of central response selection induce transient heartbeat slowing, then this change is an interesting converging measure of the state of central response selection in combination with performance measures.", "author" : [ { "dropping-particle" : "", "family" : "Jennings", "given" : "J. Richard", "non-dropping-particle" : "", "parse-names" : false, "suffix" : "" }, { "dropping-particle" : "", "family" : "Molen", "given" : "Maurits W.", "non-dropping-particle" : "Van Der", "parse-names" : false, "suffix" : "" } ], "container-title" : "Psychological Research", "id" : "ITEM-1", "issue" : "4", "issued" : { "date-parts" : [ [ "2002" ] ] }, "page" : "337-349", "title" : "Cardiac timing and the central regulation of action", "type" : "article-journal", "volume" : "66" }, "uris" : [ "http://www.mendeley.com/documents/?uuid=d3cc4ec4-e31d-4639-8b09-c3399290ba44" ] } ], "mendeley" : { "formattedCitation" : "(Jennings &amp; Van Der Molen, 2002)", "plainTextFormattedCitation" : "(Jennings &amp; Van Der Molen, 2002)", "previouslyFormattedCitation" : "(Jennings &amp; Van Der Molen, 2002)" }, "properties" : {  }, "schema" : "https://github.com/citation-style-language/schema/raw/master/csl-citation.json" }</w:instrText>
      </w:r>
      <w:r w:rsidR="00DB58C1" w:rsidRPr="004E794C">
        <w:rPr>
          <w:rFonts w:ascii="Times New Roman" w:eastAsia="Times New Roman" w:hAnsi="Times New Roman" w:cs="Times New Roman"/>
          <w:sz w:val="24"/>
          <w:szCs w:val="24"/>
          <w:lang w:val="en-GB"/>
        </w:rPr>
        <w:fldChar w:fldCharType="separate"/>
      </w:r>
      <w:r w:rsidR="00DB58C1" w:rsidRPr="004E794C">
        <w:rPr>
          <w:rFonts w:ascii="Times New Roman" w:eastAsia="Times New Roman" w:hAnsi="Times New Roman" w:cs="Times New Roman"/>
          <w:noProof/>
          <w:sz w:val="24"/>
          <w:szCs w:val="24"/>
          <w:lang w:val="en-GB"/>
        </w:rPr>
        <w:t>(Jennings &amp; Van Der Molen, 2002)</w:t>
      </w:r>
      <w:r w:rsidR="00DB58C1" w:rsidRPr="004E794C">
        <w:rPr>
          <w:rFonts w:ascii="Times New Roman" w:eastAsia="Times New Roman" w:hAnsi="Times New Roman" w:cs="Times New Roman"/>
          <w:sz w:val="24"/>
          <w:szCs w:val="24"/>
          <w:lang w:val="en-GB"/>
        </w:rPr>
        <w:fldChar w:fldCharType="end"/>
      </w:r>
      <w:r w:rsidR="00DB58C1" w:rsidRPr="004E794C">
        <w:rPr>
          <w:rFonts w:ascii="Times New Roman" w:eastAsia="Times New Roman" w:hAnsi="Times New Roman" w:cs="Times New Roman"/>
          <w:sz w:val="24"/>
          <w:szCs w:val="24"/>
          <w:lang w:val="en-GB"/>
        </w:rPr>
        <w:t xml:space="preserve">. </w:t>
      </w:r>
      <w:r w:rsidR="00DB7BB2" w:rsidRPr="004E794C">
        <w:rPr>
          <w:rFonts w:ascii="Times New Roman" w:eastAsia="Times New Roman" w:hAnsi="Times New Roman" w:cs="Times New Roman"/>
          <w:sz w:val="24"/>
          <w:szCs w:val="24"/>
          <w:lang w:val="en-GB"/>
        </w:rPr>
        <w:t xml:space="preserve">Heart rate changes are a sensitive index of both anticipation and monitoring of the decision taken. In fact, the high temporal resolution of this measure enables the differentiation of these two different cognitive processes </w:t>
      </w:r>
      <w:r w:rsidR="003E2746" w:rsidRPr="004E794C">
        <w:rPr>
          <w:rFonts w:ascii="Times New Roman" w:eastAsia="Times New Roman" w:hAnsi="Times New Roman" w:cs="Times New Roman"/>
          <w:sz w:val="24"/>
          <w:szCs w:val="24"/>
          <w:lang w:val="en-GB"/>
        </w:rPr>
        <w:fldChar w:fldCharType="begin" w:fldLock="1"/>
      </w:r>
      <w:r w:rsidR="003E2746" w:rsidRPr="004E794C">
        <w:rPr>
          <w:rFonts w:ascii="Times New Roman" w:eastAsia="Times New Roman" w:hAnsi="Times New Roman" w:cs="Times New Roman"/>
          <w:sz w:val="24"/>
          <w:szCs w:val="24"/>
          <w:lang w:val="en-GB"/>
        </w:rPr>
        <w:instrText>ADDIN CSL_CITATION { "citationItems" : [ { "id" : "ITEM-1", "itemData" : { "DOI" : "10.1111/j.1467-8624.2007.01066.x", "ISBN" : "Print 0009-3920\\r1467-8624 Child Development Abstracts &amp; Bibliography Blackwell Publishing Wiley-Blackwell Publishing Ltd.; United Kingdom Electronic, Print Electronic", "ISSN" : "00093920", "PMID" : "17650139", "abstract" : "Age differences in decision making indicate that children fail to anticipate outcomes of their decisions. Using heart rate and skin conductance analyses, we tested whether developmental changes in decision making are associated with (a) a failure to process outcomes of decisions, or (b) a failure to anticipate future outcomes of decisions. Children aged 8\u201010, 12\u201014, and 16\u201018 years performed the Hungry Donkey task, a child version of the Iowa Gambling Task, while heart rate and skin conductance activity were continuously recorded. Children aged 16\u201018 learned to make advantageous choices over task blocks faster than the two younger age groups. Age differences were present for anticipation\u2010related autonomic activity but not outcome\u2010related autonomic activity. The results are interpreted vis\u2010\u00e0\u2010vis models of prefrontal cortex maturation.", "author" : [ { "dropping-particle" : "", "family" : "Crone", "given" : "Eveline A.", "non-dropping-particle" : "", "parse-names" : false, "suffix" : "" }, { "dropping-particle" : "", "family" : "Molen", "given" : "Maurits W.", "non-dropping-particle" : "Van Der", "parse-names" : false, "suffix" : "" } ], "container-title" : "Child Development", "id" : "ITEM-1", "issue" : "4", "issued" : { "date-parts" : [ [ "2007" ] ] }, "page" : "1288-1301", "title" : "Development of decision making in school-aged children and adolescents: Evidence from heart rate and skin conductance analysis", "type" : "article-journal", "volume" : "78" }, "uris" : [ "http://www.mendeley.com/documents/?uuid=bafa74a5-db57-466e-9ae9-41fee244c8e1" ] } ], "mendeley" : { "formattedCitation" : "(Crone &amp; Van Der Molen, 2007)", "plainTextFormattedCitation" : "(Crone &amp; Van Der Molen, 2007)", "previouslyFormattedCitation" : "(Crone &amp; Van Der Molen, 2007)" }, "properties" : {  }, "schema" : "https://github.com/citation-style-language/schema/raw/master/csl-citation.json" }</w:instrText>
      </w:r>
      <w:r w:rsidR="003E2746" w:rsidRPr="004E794C">
        <w:rPr>
          <w:rFonts w:ascii="Times New Roman" w:eastAsia="Times New Roman" w:hAnsi="Times New Roman" w:cs="Times New Roman"/>
          <w:sz w:val="24"/>
          <w:szCs w:val="24"/>
          <w:lang w:val="en-GB"/>
        </w:rPr>
        <w:fldChar w:fldCharType="separate"/>
      </w:r>
      <w:r w:rsidR="003E2746" w:rsidRPr="004E794C">
        <w:rPr>
          <w:rFonts w:ascii="Times New Roman" w:eastAsia="Times New Roman" w:hAnsi="Times New Roman" w:cs="Times New Roman"/>
          <w:noProof/>
          <w:sz w:val="24"/>
          <w:szCs w:val="24"/>
          <w:lang w:val="en-GB"/>
        </w:rPr>
        <w:t>(Crone &amp; Van Der Molen, 2007)</w:t>
      </w:r>
      <w:r w:rsidR="003E2746" w:rsidRPr="004E794C">
        <w:rPr>
          <w:rFonts w:ascii="Times New Roman" w:eastAsia="Times New Roman" w:hAnsi="Times New Roman" w:cs="Times New Roman"/>
          <w:sz w:val="24"/>
          <w:szCs w:val="24"/>
          <w:lang w:val="en-GB"/>
        </w:rPr>
        <w:fldChar w:fldCharType="end"/>
      </w:r>
      <w:r w:rsidR="00DB7BB2" w:rsidRPr="004E794C">
        <w:rPr>
          <w:rFonts w:ascii="Times New Roman" w:eastAsia="Times New Roman" w:hAnsi="Times New Roman" w:cs="Times New Roman"/>
          <w:sz w:val="24"/>
          <w:szCs w:val="24"/>
          <w:lang w:val="en-GB"/>
        </w:rPr>
        <w:t xml:space="preserve">. Based on these previous studies we </w:t>
      </w:r>
      <w:r w:rsidR="00DB7BB2" w:rsidRPr="004E794C">
        <w:rPr>
          <w:rFonts w:ascii="Times New Roman" w:eastAsia="Times New Roman" w:hAnsi="Times New Roman" w:cs="Times New Roman"/>
          <w:sz w:val="24"/>
          <w:szCs w:val="24"/>
          <w:lang w:val="en-GB"/>
        </w:rPr>
        <w:lastRenderedPageBreak/>
        <w:t>mainly focused our analysis on the time windows in which the participants see the “anticipation” slide (preparation for action) in which we expect a deceleration and on the “wait” slide in which we expect an acceleration as preparation towards a feedback.</w:t>
      </w:r>
    </w:p>
    <w:p w14:paraId="77E959B6" w14:textId="08D3219D" w:rsidR="002B44C8" w:rsidRPr="004E794C" w:rsidRDefault="002B44C8" w:rsidP="27C27199">
      <w:pPr>
        <w:pStyle w:val="Body"/>
        <w:suppressLineNumbers/>
        <w:spacing w:line="480" w:lineRule="auto"/>
        <w:rPr>
          <w:rFonts w:ascii="Cambria" w:eastAsia="Cambria" w:hAnsi="Cambria" w:cs="Times New Roman"/>
          <w:b/>
          <w:bCs/>
        </w:rPr>
      </w:pPr>
    </w:p>
    <w:p w14:paraId="36F4C44D" w14:textId="77777777" w:rsidR="00A63CE9" w:rsidRPr="00A52A6A" w:rsidRDefault="27C27199" w:rsidP="27C27199">
      <w:pPr>
        <w:pStyle w:val="Body"/>
        <w:suppressLineNumbers/>
        <w:spacing w:line="480" w:lineRule="auto"/>
        <w:rPr>
          <w:rFonts w:ascii="Cambria,Times New Roman" w:eastAsia="Cambria,Times New Roman" w:hAnsi="Cambria,Times New Roman" w:cs="Cambria,Times New Roman"/>
          <w:b/>
          <w:bCs/>
        </w:rPr>
      </w:pPr>
      <w:r w:rsidRPr="27C27199">
        <w:rPr>
          <w:rFonts w:ascii="Cambria" w:eastAsia="Cambria" w:hAnsi="Cambria" w:cs="Cambria"/>
          <w:b/>
          <w:bCs/>
        </w:rPr>
        <w:t xml:space="preserve">Procedure </w:t>
      </w:r>
    </w:p>
    <w:p w14:paraId="671B94E3" w14:textId="5E307B55" w:rsidR="00FF73F0"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Participants were individually invited to take part in a one-hour experiment in a physiological laboratory at the School of Psychology and Language Sciences, University of Reading. All participants read the information sheet and signed the consent form. At the beginning of the session, they performed the BART</w:t>
      </w:r>
      <w:r>
        <w:t xml:space="preserve">. </w:t>
      </w:r>
      <w:r w:rsidRPr="008B6080">
        <w:rPr>
          <w:rFonts w:ascii="Times New Roman" w:hAnsi="Times New Roman" w:cs="Times New Roman"/>
          <w:sz w:val="24"/>
          <w:szCs w:val="24"/>
          <w:lang w:val="en-GB"/>
        </w:rPr>
        <w:t xml:space="preserve">The BART task was </w:t>
      </w:r>
      <w:r w:rsidR="00F93219" w:rsidRPr="008135B0">
        <w:rPr>
          <w:rFonts w:ascii="Times New Roman" w:hAnsi="Times New Roman" w:cs="Times New Roman"/>
          <w:sz w:val="24"/>
          <w:szCs w:val="24"/>
          <w:lang w:val="en-GB"/>
        </w:rPr>
        <w:t xml:space="preserve">always </w:t>
      </w:r>
      <w:r w:rsidRPr="008B6080">
        <w:rPr>
          <w:rFonts w:ascii="Times New Roman" w:hAnsi="Times New Roman" w:cs="Times New Roman"/>
          <w:sz w:val="24"/>
          <w:szCs w:val="24"/>
          <w:lang w:val="en-GB"/>
        </w:rPr>
        <w:t>conducted first as an assessment of individual differences in their propensity towards ambiguity and uncertainty, and thus only used to establish whether the groups were significantly different from one another in terms of their decision tendencies at baseline.</w:t>
      </w:r>
      <w:r w:rsidRPr="27C27199">
        <w:rPr>
          <w:lang w:val="en-GB"/>
        </w:rPr>
        <w:t xml:space="preserve"> </w:t>
      </w:r>
      <w:r w:rsidRPr="27C27199">
        <w:rPr>
          <w:rFonts w:ascii="Times New Roman" w:eastAsia="Times New Roman" w:hAnsi="Times New Roman" w:cs="Times New Roman"/>
          <w:sz w:val="24"/>
          <w:szCs w:val="24"/>
        </w:rPr>
        <w:t xml:space="preserve">Subsequently, they performed the modified version of the BIAS task (Kuhnen &amp; Knutson, 2005) while skin conductance response and hearth rate were recorded. </w:t>
      </w:r>
      <w:r w:rsidRPr="00706032">
        <w:rPr>
          <w:rFonts w:ascii="Times New Roman" w:eastAsia="Times New Roman" w:hAnsi="Times New Roman" w:cs="Times New Roman"/>
          <w:sz w:val="24"/>
          <w:szCs w:val="24"/>
        </w:rPr>
        <w:t>Participants received instructions of the BIAS task and they were aware of prior probabilities assigned respectively to the good and bad stock.</w:t>
      </w:r>
    </w:p>
    <w:p w14:paraId="282BBD48" w14:textId="77777777" w:rsidR="008A04FA" w:rsidRPr="008A04FA" w:rsidRDefault="008A04FA" w:rsidP="00C420EE">
      <w:pPr>
        <w:pStyle w:val="Default"/>
        <w:suppressLineNumbers/>
        <w:spacing w:line="480" w:lineRule="auto"/>
        <w:rPr>
          <w:rFonts w:ascii="Times New Roman" w:hAnsi="Times New Roman"/>
          <w:sz w:val="24"/>
          <w:szCs w:val="24"/>
        </w:rPr>
      </w:pPr>
    </w:p>
    <w:p w14:paraId="23EAEE0C" w14:textId="77777777" w:rsidR="004E794C" w:rsidRDefault="004E794C" w:rsidP="27C27199">
      <w:pPr>
        <w:pStyle w:val="Default"/>
        <w:suppressLineNumbers/>
        <w:spacing w:line="480" w:lineRule="auto"/>
        <w:rPr>
          <w:rFonts w:ascii="Cambria" w:eastAsia="Cambria" w:hAnsi="Cambria" w:cs="Cambria"/>
          <w:b/>
          <w:bCs/>
        </w:rPr>
      </w:pPr>
    </w:p>
    <w:p w14:paraId="71D033F2" w14:textId="77777777" w:rsidR="004E794C" w:rsidRDefault="004E794C" w:rsidP="27C27199">
      <w:pPr>
        <w:pStyle w:val="Default"/>
        <w:suppressLineNumbers/>
        <w:spacing w:line="480" w:lineRule="auto"/>
        <w:rPr>
          <w:rFonts w:ascii="Cambria" w:eastAsia="Cambria" w:hAnsi="Cambria" w:cs="Cambria"/>
          <w:b/>
          <w:bCs/>
        </w:rPr>
      </w:pPr>
    </w:p>
    <w:p w14:paraId="31092D74" w14:textId="77777777" w:rsidR="001A56B9" w:rsidRPr="00FF73F0" w:rsidRDefault="27C27199" w:rsidP="27C27199">
      <w:pPr>
        <w:pStyle w:val="Default"/>
        <w:suppressLineNumbers/>
        <w:spacing w:line="480" w:lineRule="auto"/>
        <w:rPr>
          <w:rFonts w:ascii="Times New Roman" w:eastAsia="Times New Roman" w:hAnsi="Times New Roman" w:cs="Times New Roman"/>
          <w:sz w:val="24"/>
          <w:szCs w:val="24"/>
        </w:rPr>
      </w:pPr>
      <w:r w:rsidRPr="27C27199">
        <w:rPr>
          <w:rFonts w:ascii="Cambria" w:eastAsia="Cambria" w:hAnsi="Cambria" w:cs="Cambria"/>
          <w:b/>
          <w:bCs/>
        </w:rPr>
        <w:lastRenderedPageBreak/>
        <w:t>Data Analysis and Results</w:t>
      </w:r>
    </w:p>
    <w:p w14:paraId="48217AC1" w14:textId="77777777" w:rsidR="00813003" w:rsidRPr="00813003" w:rsidRDefault="00813003" w:rsidP="00C420EE">
      <w:pPr>
        <w:pStyle w:val="Body"/>
        <w:suppressLineNumbers/>
        <w:spacing w:line="480" w:lineRule="auto"/>
        <w:rPr>
          <w:rFonts w:ascii="Cambria" w:eastAsia="Cambria" w:hAnsi="Cambria" w:cs="Cambria"/>
          <w:b/>
          <w:bCs/>
        </w:rPr>
      </w:pPr>
    </w:p>
    <w:p w14:paraId="476F201F" w14:textId="77777777" w:rsidR="001A56B9" w:rsidRDefault="27C27199" w:rsidP="27C27199">
      <w:pPr>
        <w:pStyle w:val="Default"/>
        <w:suppressLineNumbers/>
        <w:spacing w:line="480" w:lineRule="auto"/>
        <w:rPr>
          <w:rFonts w:ascii="Times New Roman" w:eastAsia="Times New Roman" w:hAnsi="Times New Roman" w:cs="Times New Roman"/>
          <w:b/>
          <w:bCs/>
          <w:sz w:val="24"/>
          <w:szCs w:val="24"/>
        </w:rPr>
      </w:pPr>
      <w:r w:rsidRPr="27C27199">
        <w:rPr>
          <w:rFonts w:ascii="Cambria" w:eastAsia="Cambria" w:hAnsi="Cambria" w:cs="Cambria"/>
          <w:b/>
          <w:bCs/>
          <w:sz w:val="24"/>
          <w:szCs w:val="24"/>
        </w:rPr>
        <w:t>Behavioral analysis</w:t>
      </w:r>
    </w:p>
    <w:p w14:paraId="0D300F38" w14:textId="77777777" w:rsidR="00DD6704" w:rsidRPr="00DD6704" w:rsidRDefault="27C27199" w:rsidP="27C27199">
      <w:pPr>
        <w:pStyle w:val="Default"/>
        <w:suppressLineNumbers/>
        <w:spacing w:line="480" w:lineRule="auto"/>
        <w:rPr>
          <w:rFonts w:ascii="Times New Roman" w:eastAsia="Times New Roman" w:hAnsi="Times New Roman" w:cs="Times New Roman"/>
          <w:b/>
          <w:bCs/>
          <w:i/>
          <w:iCs/>
          <w:sz w:val="24"/>
          <w:szCs w:val="24"/>
        </w:rPr>
      </w:pPr>
      <w:r w:rsidRPr="27C27199">
        <w:rPr>
          <w:rFonts w:ascii="Times New Roman" w:eastAsia="Times New Roman" w:hAnsi="Times New Roman" w:cs="Times New Roman"/>
          <w:b/>
          <w:bCs/>
          <w:i/>
          <w:iCs/>
          <w:sz w:val="24"/>
          <w:szCs w:val="24"/>
        </w:rPr>
        <w:t xml:space="preserve">BART task </w:t>
      </w:r>
    </w:p>
    <w:p w14:paraId="1ABD7B92" w14:textId="7751A6D6" w:rsidR="003E2746" w:rsidRPr="00F94458" w:rsidRDefault="27C27199" w:rsidP="00F94458">
      <w:pPr>
        <w:pStyle w:val="Default"/>
        <w:spacing w:line="480" w:lineRule="auto"/>
        <w:rPr>
          <w:rFonts w:ascii="Times New Roman" w:eastAsia="Times New Roman" w:hAnsi="Times New Roman" w:cs="Times New Roman"/>
          <w:sz w:val="24"/>
          <w:szCs w:val="24"/>
        </w:rPr>
      </w:pPr>
      <w:r w:rsidRPr="00F94458">
        <w:rPr>
          <w:rFonts w:ascii="Times New Roman" w:eastAsia="Times New Roman" w:hAnsi="Times New Roman" w:cs="Times New Roman"/>
          <w:sz w:val="24"/>
          <w:szCs w:val="24"/>
        </w:rPr>
        <w:t>Correlation analysis showed that the number of balloon popping in the BART task strongly</w:t>
      </w:r>
      <w:r w:rsidRPr="27C27199">
        <w:rPr>
          <w:rFonts w:ascii="Times New Roman" w:eastAsia="Times New Roman" w:hAnsi="Times New Roman" w:cs="Times New Roman"/>
          <w:sz w:val="24"/>
          <w:szCs w:val="24"/>
        </w:rPr>
        <w:t xml:space="preserve"> correlated with the number of RSM (suboptimal investment) in the BIAS task, </w:t>
      </w:r>
      <w:r w:rsidRPr="27C27199">
        <w:rPr>
          <w:rFonts w:ascii="Times New Roman" w:eastAsia="Times New Roman" w:hAnsi="Times New Roman" w:cs="Times New Roman"/>
          <w:i/>
          <w:iCs/>
          <w:sz w:val="24"/>
          <w:szCs w:val="24"/>
        </w:rPr>
        <w:t>r</w:t>
      </w:r>
      <w:r w:rsidRPr="27C27199">
        <w:rPr>
          <w:rFonts w:ascii="Times New Roman" w:eastAsia="Times New Roman" w:hAnsi="Times New Roman" w:cs="Times New Roman"/>
          <w:sz w:val="24"/>
          <w:szCs w:val="24"/>
        </w:rPr>
        <w:t xml:space="preserve"> (18) = .48, </w:t>
      </w:r>
      <w:r w:rsidRPr="27C27199">
        <w:rPr>
          <w:rFonts w:ascii="Times New Roman" w:eastAsia="Times New Roman" w:hAnsi="Times New Roman" w:cs="Times New Roman"/>
          <w:i/>
          <w:iCs/>
          <w:sz w:val="24"/>
          <w:szCs w:val="24"/>
        </w:rPr>
        <w:t>p</w:t>
      </w:r>
      <w:r w:rsidRPr="27C27199">
        <w:rPr>
          <w:rFonts w:ascii="Times New Roman" w:eastAsia="Times New Roman" w:hAnsi="Times New Roman" w:cs="Times New Roman"/>
          <w:sz w:val="24"/>
          <w:szCs w:val="24"/>
        </w:rPr>
        <w:t xml:space="preserve"> = .032. However, no differences were found between groups in the number of balloons popped in the BART </w:t>
      </w:r>
      <w:r w:rsidRPr="00706032">
        <w:rPr>
          <w:rFonts w:ascii="Times New Roman" w:eastAsia="Times New Roman" w:hAnsi="Times New Roman" w:cs="Times New Roman"/>
          <w:sz w:val="24"/>
          <w:szCs w:val="24"/>
        </w:rPr>
        <w:t xml:space="preserve">task </w:t>
      </w:r>
      <w:r w:rsidRPr="00706032">
        <w:rPr>
          <w:rFonts w:ascii="Times New Roman" w:eastAsia="Times New Roman" w:hAnsi="Times New Roman" w:cs="Times New Roman"/>
          <w:i/>
          <w:iCs/>
          <w:sz w:val="24"/>
          <w:szCs w:val="24"/>
        </w:rPr>
        <w:t>t</w:t>
      </w:r>
      <w:r w:rsidRPr="00706032">
        <w:rPr>
          <w:rFonts w:ascii="Times New Roman" w:eastAsia="Times New Roman" w:hAnsi="Times New Roman" w:cs="Times New Roman"/>
          <w:sz w:val="24"/>
          <w:szCs w:val="24"/>
        </w:rPr>
        <w:t xml:space="preserve"> (18) = .18, </w:t>
      </w:r>
      <w:r w:rsidRPr="00706032">
        <w:rPr>
          <w:rFonts w:ascii="Times New Roman" w:eastAsia="Times New Roman" w:hAnsi="Times New Roman" w:cs="Times New Roman"/>
          <w:i/>
          <w:iCs/>
          <w:sz w:val="24"/>
          <w:szCs w:val="24"/>
        </w:rPr>
        <w:t>p</w:t>
      </w:r>
      <w:r w:rsidRPr="00706032">
        <w:rPr>
          <w:rFonts w:ascii="Times New Roman" w:eastAsia="Times New Roman" w:hAnsi="Times New Roman" w:cs="Times New Roman"/>
          <w:sz w:val="24"/>
          <w:szCs w:val="24"/>
        </w:rPr>
        <w:t xml:space="preserve"> = .858.</w:t>
      </w:r>
    </w:p>
    <w:p w14:paraId="4FA5BC1F" w14:textId="77777777" w:rsidR="00DD6704" w:rsidRPr="00EB0171" w:rsidRDefault="27C27199" w:rsidP="27C27199">
      <w:pPr>
        <w:spacing w:line="480" w:lineRule="auto"/>
        <w:rPr>
          <w:rFonts w:ascii="Arial Unicode MS" w:hAnsi="Arial Unicode MS" w:cs="Arial Unicode MS"/>
          <w:color w:val="000000" w:themeColor="text1"/>
          <w:u w:val="single"/>
          <w:lang w:eastAsia="en-GB"/>
        </w:rPr>
      </w:pPr>
      <w:r w:rsidRPr="27C27199">
        <w:rPr>
          <w:b/>
          <w:bCs/>
          <w:i/>
          <w:iCs/>
        </w:rPr>
        <w:t>BIAS task</w:t>
      </w:r>
      <w:r>
        <w:t xml:space="preserve"> </w:t>
      </w:r>
    </w:p>
    <w:p w14:paraId="32BC6FE9" w14:textId="59258451" w:rsidR="0003138A" w:rsidRPr="00F94458" w:rsidRDefault="27C27199" w:rsidP="00F94458">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A mixed 2 x 2 repeated ANOVA, where uncertainty (level of investment) as calculated by Bayesian rule (low versus high) was the within subject variable and group background (SMB versus SSF) was the between subject variable, was performed on the number of optimal (good stock chosen) and suboptimal choices (RAM, RSM, confusion mistakes) in the two groups. </w:t>
      </w:r>
    </w:p>
    <w:p w14:paraId="021E110B" w14:textId="4C3B2C6F" w:rsidR="009C3504" w:rsidRDefault="27C27199" w:rsidP="27C27199">
      <w:pPr>
        <w:pStyle w:val="Default"/>
        <w:spacing w:line="480" w:lineRule="auto"/>
        <w:rPr>
          <w:rFonts w:ascii="Times New Roman" w:eastAsia="Times New Roman" w:hAnsi="Times New Roman" w:cs="Times New Roman"/>
          <w:sz w:val="24"/>
          <w:szCs w:val="24"/>
        </w:rPr>
      </w:pPr>
      <w:r w:rsidRPr="00706032">
        <w:rPr>
          <w:rFonts w:ascii="Times New Roman" w:eastAsia="Times New Roman" w:hAnsi="Times New Roman" w:cs="Times New Roman"/>
          <w:sz w:val="24"/>
          <w:szCs w:val="24"/>
        </w:rPr>
        <w:t xml:space="preserve">A significant main effect of uncertainty condition was found in the 2x2 ANOVA (1, 18) = 12.74, </w:t>
      </w:r>
      <w:r w:rsidRPr="00706032">
        <w:rPr>
          <w:rFonts w:ascii="Times New Roman" w:eastAsia="Times New Roman" w:hAnsi="Times New Roman" w:cs="Times New Roman"/>
          <w:i/>
          <w:iCs/>
          <w:sz w:val="24"/>
          <w:szCs w:val="24"/>
        </w:rPr>
        <w:t>p</w:t>
      </w:r>
      <w:r w:rsidRPr="00706032">
        <w:rPr>
          <w:rFonts w:ascii="Times New Roman" w:eastAsia="Times New Roman" w:hAnsi="Times New Roman" w:cs="Times New Roman"/>
          <w:sz w:val="24"/>
          <w:szCs w:val="24"/>
        </w:rPr>
        <w:t xml:space="preserve"> = .002 (Figure 2)</w:t>
      </w:r>
      <w:r w:rsidRPr="00706032">
        <w:rPr>
          <w:rFonts w:ascii="Times New Roman" w:eastAsia="Times New Roman" w:hAnsi="Times New Roman" w:cs="Times New Roman"/>
          <w:sz w:val="24"/>
          <w:szCs w:val="24"/>
          <w:lang w:bidi="he-IL"/>
        </w:rPr>
        <w:t xml:space="preserve"> </w:t>
      </w:r>
      <w:r w:rsidRPr="00706032">
        <w:rPr>
          <w:rFonts w:ascii="Times New Roman" w:eastAsia="Times New Roman" w:hAnsi="Times New Roman" w:cs="Times New Roman"/>
          <w:sz w:val="24"/>
          <w:szCs w:val="24"/>
          <w:rtl/>
          <w:lang w:bidi="he-IL"/>
        </w:rPr>
        <w:t>ד</w:t>
      </w:r>
      <w:r w:rsidRPr="00706032">
        <w:rPr>
          <w:rFonts w:ascii="Times New Roman" w:eastAsia="Times New Roman" w:hAnsi="Times New Roman" w:cs="Times New Roman"/>
          <w:sz w:val="24"/>
          <w:szCs w:val="24"/>
          <w:rtl/>
        </w:rPr>
        <w:t>.</w:t>
      </w:r>
      <w:r w:rsidRPr="00706032">
        <w:rPr>
          <w:rFonts w:ascii="Times New Roman" w:eastAsia="Times New Roman" w:hAnsi="Times New Roman" w:cs="Times New Roman"/>
          <w:sz w:val="24"/>
          <w:szCs w:val="24"/>
        </w:rPr>
        <w:t xml:space="preserve"> The 2x2 ANOVA also showed an interaction between background and uncertainty </w:t>
      </w:r>
      <w:r w:rsidRPr="00706032">
        <w:rPr>
          <w:rFonts w:ascii="Times New Roman" w:eastAsia="Times New Roman" w:hAnsi="Times New Roman" w:cs="Times New Roman"/>
          <w:i/>
          <w:iCs/>
          <w:sz w:val="24"/>
          <w:szCs w:val="24"/>
        </w:rPr>
        <w:t>F</w:t>
      </w:r>
      <w:r w:rsidRPr="00706032">
        <w:rPr>
          <w:rFonts w:ascii="Times New Roman" w:eastAsia="Times New Roman" w:hAnsi="Times New Roman" w:cs="Times New Roman"/>
          <w:sz w:val="24"/>
          <w:szCs w:val="24"/>
        </w:rPr>
        <w:t xml:space="preserve"> (1, 18) = 4.33, </w:t>
      </w:r>
      <w:r w:rsidRPr="00706032">
        <w:rPr>
          <w:rFonts w:ascii="Times New Roman" w:eastAsia="Times New Roman" w:hAnsi="Times New Roman" w:cs="Times New Roman"/>
          <w:i/>
          <w:iCs/>
          <w:sz w:val="24"/>
          <w:szCs w:val="24"/>
        </w:rPr>
        <w:t>p</w:t>
      </w:r>
      <w:r w:rsidRPr="00706032">
        <w:rPr>
          <w:rFonts w:ascii="Times New Roman" w:eastAsia="Times New Roman" w:hAnsi="Times New Roman" w:cs="Times New Roman"/>
          <w:sz w:val="24"/>
          <w:szCs w:val="24"/>
        </w:rPr>
        <w:t xml:space="preserve"> = .05.</w:t>
      </w:r>
      <w:r w:rsidRPr="27C27199">
        <w:rPr>
          <w:rFonts w:ascii="Times New Roman" w:eastAsia="Times New Roman" w:hAnsi="Times New Roman" w:cs="Times New Roman"/>
          <w:sz w:val="24"/>
          <w:szCs w:val="24"/>
        </w:rPr>
        <w:t xml:space="preserve"> Bonferroni corrected paired-sample comparisons showed that SSF made a lower number of optimal choices under high than low uncertainty </w:t>
      </w:r>
      <w:r w:rsidRPr="27C27199">
        <w:rPr>
          <w:rFonts w:ascii="Times New Roman" w:eastAsia="Times New Roman" w:hAnsi="Times New Roman" w:cs="Times New Roman"/>
          <w:i/>
          <w:iCs/>
          <w:sz w:val="24"/>
          <w:szCs w:val="24"/>
        </w:rPr>
        <w:t>t</w:t>
      </w:r>
      <w:r w:rsidRPr="27C27199">
        <w:rPr>
          <w:rFonts w:ascii="Times New Roman" w:eastAsia="Times New Roman" w:hAnsi="Times New Roman" w:cs="Times New Roman"/>
          <w:sz w:val="24"/>
          <w:szCs w:val="24"/>
        </w:rPr>
        <w:t xml:space="preserve"> (9) = 3.96), </w:t>
      </w:r>
      <w:r w:rsidRPr="27C27199">
        <w:rPr>
          <w:rFonts w:ascii="Times New Roman" w:eastAsia="Times New Roman" w:hAnsi="Times New Roman" w:cs="Times New Roman"/>
          <w:i/>
          <w:iCs/>
          <w:sz w:val="24"/>
          <w:szCs w:val="24"/>
        </w:rPr>
        <w:t>p</w:t>
      </w:r>
      <w:r w:rsidRPr="27C27199">
        <w:rPr>
          <w:rFonts w:ascii="Times New Roman" w:eastAsia="Times New Roman" w:hAnsi="Times New Roman" w:cs="Times New Roman"/>
          <w:sz w:val="24"/>
          <w:szCs w:val="24"/>
        </w:rPr>
        <w:t xml:space="preserve"> = .003, whereas SMB showed no difference in </w:t>
      </w:r>
      <w:r w:rsidRPr="27C27199">
        <w:rPr>
          <w:rFonts w:ascii="Times New Roman" w:eastAsia="Times New Roman" w:hAnsi="Times New Roman" w:cs="Times New Roman"/>
          <w:sz w:val="24"/>
          <w:szCs w:val="24"/>
        </w:rPr>
        <w:lastRenderedPageBreak/>
        <w:t xml:space="preserve">the number of optimal choices under low and high uncertainty, </w:t>
      </w:r>
      <w:r w:rsidRPr="00706032">
        <w:rPr>
          <w:rFonts w:ascii="Times New Roman" w:eastAsia="Times New Roman" w:hAnsi="Times New Roman" w:cs="Times New Roman"/>
          <w:i/>
          <w:iCs/>
          <w:sz w:val="24"/>
          <w:szCs w:val="24"/>
        </w:rPr>
        <w:t>t</w:t>
      </w:r>
      <w:r w:rsidRPr="00706032">
        <w:rPr>
          <w:rFonts w:ascii="Times New Roman" w:eastAsia="Times New Roman" w:hAnsi="Times New Roman" w:cs="Times New Roman"/>
          <w:sz w:val="24"/>
          <w:szCs w:val="24"/>
        </w:rPr>
        <w:t xml:space="preserve"> (</w:t>
      </w:r>
      <w:r w:rsidR="00F94458">
        <w:rPr>
          <w:rFonts w:ascii="Times New Roman" w:eastAsia="Times New Roman" w:hAnsi="Times New Roman" w:cs="Times New Roman"/>
          <w:sz w:val="24"/>
          <w:szCs w:val="24"/>
        </w:rPr>
        <w:t>9) = 1.06, p = .316 (see Figure2</w:t>
      </w:r>
      <w:r w:rsidRPr="00706032">
        <w:rPr>
          <w:rFonts w:ascii="Times New Roman" w:eastAsia="Times New Roman" w:hAnsi="Times New Roman" w:cs="Times New Roman"/>
          <w:sz w:val="24"/>
          <w:szCs w:val="24"/>
          <w:rtl/>
          <w:lang w:bidi="he-IL"/>
        </w:rPr>
        <w:t>ה</w:t>
      </w:r>
      <w:r w:rsidRPr="00706032">
        <w:rPr>
          <w:rFonts w:ascii="Times New Roman" w:eastAsia="Times New Roman" w:hAnsi="Times New Roman" w:cs="Times New Roman"/>
          <w:sz w:val="24"/>
          <w:szCs w:val="24"/>
        </w:rPr>
        <w:t>).</w:t>
      </w:r>
      <w:r w:rsidRPr="27C27199">
        <w:rPr>
          <w:rFonts w:ascii="Times New Roman" w:eastAsia="Times New Roman" w:hAnsi="Times New Roman" w:cs="Times New Roman"/>
          <w:sz w:val="24"/>
          <w:szCs w:val="24"/>
        </w:rPr>
        <w:t xml:space="preserve"> </w:t>
      </w:r>
    </w:p>
    <w:p w14:paraId="5064F5EC" w14:textId="77777777" w:rsidR="00F94458" w:rsidRDefault="00F94458" w:rsidP="27C27199">
      <w:pPr>
        <w:pStyle w:val="Default"/>
        <w:spacing w:line="480" w:lineRule="auto"/>
        <w:rPr>
          <w:rFonts w:ascii="Times New Roman" w:eastAsia="Times New Roman" w:hAnsi="Times New Roman" w:cs="Times New Roman"/>
          <w:sz w:val="24"/>
          <w:szCs w:val="24"/>
        </w:rPr>
      </w:pPr>
    </w:p>
    <w:p w14:paraId="56808CD7" w14:textId="2CDAF6BF" w:rsidR="00A70C02" w:rsidRDefault="00F94458" w:rsidP="00EB0171">
      <w:pPr>
        <w:pStyle w:val="Default"/>
        <w:spacing w:line="480" w:lineRule="auto"/>
        <w:rPr>
          <w:rFonts w:ascii="Times New Roman" w:hAnsi="Times New Roman"/>
          <w:sz w:val="24"/>
          <w:szCs w:val="24"/>
        </w:rPr>
      </w:pPr>
      <w:r>
        <w:rPr>
          <w:rFonts w:ascii="Times New Roman" w:hAnsi="Times New Roman"/>
          <w:noProof/>
          <w:sz w:val="24"/>
          <w:szCs w:val="24"/>
          <w:lang w:val="en-GB"/>
        </w:rPr>
        <w:drawing>
          <wp:inline distT="0" distB="0" distL="0" distR="0" wp14:anchorId="6738CC22" wp14:editId="5F2CC942">
            <wp:extent cx="4698994" cy="31320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BC8279.tmp"/>
                    <pic:cNvPicPr/>
                  </pic:nvPicPr>
                  <pic:blipFill>
                    <a:blip r:embed="rId12">
                      <a:extLst>
                        <a:ext uri="{28A0092B-C50C-407E-A947-70E740481C1C}">
                          <a14:useLocalDpi xmlns:a14="http://schemas.microsoft.com/office/drawing/2010/main" val="0"/>
                        </a:ext>
                      </a:extLst>
                    </a:blip>
                    <a:stretch>
                      <a:fillRect/>
                    </a:stretch>
                  </pic:blipFill>
                  <pic:spPr>
                    <a:xfrm>
                      <a:off x="0" y="0"/>
                      <a:ext cx="4698994" cy="3132000"/>
                    </a:xfrm>
                    <a:prstGeom prst="rect">
                      <a:avLst/>
                    </a:prstGeom>
                  </pic:spPr>
                </pic:pic>
              </a:graphicData>
            </a:graphic>
          </wp:inline>
        </w:drawing>
      </w:r>
    </w:p>
    <w:p w14:paraId="72CFB451" w14:textId="77777777" w:rsidR="00A70C02" w:rsidRDefault="00A70C02" w:rsidP="00C420EE">
      <w:pPr>
        <w:pStyle w:val="Default"/>
        <w:suppressLineNumbers/>
        <w:spacing w:line="480" w:lineRule="auto"/>
        <w:rPr>
          <w:rFonts w:ascii="Times New Roman" w:hAnsi="Times New Roman"/>
          <w:i/>
          <w:sz w:val="24"/>
          <w:szCs w:val="24"/>
        </w:rPr>
      </w:pPr>
    </w:p>
    <w:p w14:paraId="6C97BF1F" w14:textId="10457235" w:rsidR="00FF73F0" w:rsidRDefault="00F94458" w:rsidP="00C420EE">
      <w:pPr>
        <w:pStyle w:val="Default"/>
        <w:suppressLineNumbers/>
        <w:spacing w:line="480" w:lineRule="auto"/>
        <w:rPr>
          <w:rFonts w:ascii="Cambria" w:eastAsia="Cambria" w:hAnsi="Cambria" w:cs="Cambria"/>
          <w:b/>
          <w:bCs/>
          <w:sz w:val="24"/>
          <w:szCs w:val="24"/>
        </w:rPr>
      </w:pPr>
      <w:r>
        <w:rPr>
          <w:rFonts w:ascii="Cambria" w:eastAsia="Cambria" w:hAnsi="Cambria" w:cs="Cambria"/>
          <w:b/>
          <w:bCs/>
          <w:noProof/>
          <w:sz w:val="24"/>
          <w:szCs w:val="24"/>
          <w:lang w:val="en-GB"/>
        </w:rPr>
        <w:drawing>
          <wp:inline distT="0" distB="0" distL="0" distR="0" wp14:anchorId="533B22A9" wp14:editId="54AFE2F0">
            <wp:extent cx="4900444" cy="33120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BCB128.tmp"/>
                    <pic:cNvPicPr/>
                  </pic:nvPicPr>
                  <pic:blipFill>
                    <a:blip r:embed="rId13">
                      <a:extLst>
                        <a:ext uri="{28A0092B-C50C-407E-A947-70E740481C1C}">
                          <a14:useLocalDpi xmlns:a14="http://schemas.microsoft.com/office/drawing/2010/main" val="0"/>
                        </a:ext>
                      </a:extLst>
                    </a:blip>
                    <a:stretch>
                      <a:fillRect/>
                    </a:stretch>
                  </pic:blipFill>
                  <pic:spPr>
                    <a:xfrm>
                      <a:off x="0" y="0"/>
                      <a:ext cx="4900444" cy="3312000"/>
                    </a:xfrm>
                    <a:prstGeom prst="rect">
                      <a:avLst/>
                    </a:prstGeom>
                  </pic:spPr>
                </pic:pic>
              </a:graphicData>
            </a:graphic>
          </wp:inline>
        </w:drawing>
      </w:r>
    </w:p>
    <w:p w14:paraId="148BFB21" w14:textId="77777777" w:rsidR="00100AB4" w:rsidRDefault="00100AB4" w:rsidP="00C420EE">
      <w:pPr>
        <w:pStyle w:val="Default"/>
        <w:suppressLineNumbers/>
        <w:spacing w:line="480" w:lineRule="auto"/>
        <w:rPr>
          <w:rFonts w:ascii="Cambria" w:eastAsia="Cambria" w:hAnsi="Cambria" w:cs="Cambria"/>
          <w:b/>
          <w:bCs/>
          <w:sz w:val="24"/>
          <w:szCs w:val="24"/>
        </w:rPr>
      </w:pPr>
    </w:p>
    <w:p w14:paraId="592DE5FF" w14:textId="77777777" w:rsidR="00100AB4" w:rsidRDefault="00100AB4" w:rsidP="00C420EE">
      <w:pPr>
        <w:pStyle w:val="Default"/>
        <w:suppressLineNumbers/>
        <w:spacing w:line="480" w:lineRule="auto"/>
        <w:rPr>
          <w:rFonts w:ascii="Cambria" w:eastAsia="Cambria" w:hAnsi="Cambria" w:cs="Cambria"/>
          <w:b/>
          <w:bCs/>
          <w:sz w:val="24"/>
          <w:szCs w:val="24"/>
        </w:rPr>
      </w:pPr>
    </w:p>
    <w:p w14:paraId="50DD4CA4" w14:textId="77777777" w:rsidR="008F6C45" w:rsidRPr="00297D60" w:rsidRDefault="27C27199" w:rsidP="27C27199">
      <w:pPr>
        <w:pStyle w:val="Default"/>
        <w:suppressLineNumbers/>
        <w:spacing w:line="480" w:lineRule="auto"/>
        <w:rPr>
          <w:rFonts w:ascii="Cambria" w:eastAsia="Cambria" w:hAnsi="Cambria" w:cs="Cambria"/>
          <w:b/>
          <w:bCs/>
          <w:sz w:val="24"/>
          <w:szCs w:val="24"/>
        </w:rPr>
      </w:pPr>
      <w:r w:rsidRPr="27C27199">
        <w:rPr>
          <w:rFonts w:ascii="Cambria" w:eastAsia="Cambria" w:hAnsi="Cambria" w:cs="Cambria"/>
          <w:b/>
          <w:bCs/>
          <w:sz w:val="24"/>
          <w:szCs w:val="24"/>
        </w:rPr>
        <w:t>Electrophysiological analysis and results</w:t>
      </w:r>
    </w:p>
    <w:p w14:paraId="54D203B9" w14:textId="77777777" w:rsidR="005D2F7D" w:rsidRPr="00DD6704" w:rsidRDefault="00A811B9" w:rsidP="27C27199">
      <w:pPr>
        <w:pStyle w:val="Default"/>
        <w:suppressLineNumbers/>
        <w:spacing w:line="48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Heart</w:t>
      </w:r>
      <w:r w:rsidR="27C27199" w:rsidRPr="27C27199">
        <w:rPr>
          <w:rFonts w:ascii="Times New Roman" w:eastAsia="Times New Roman" w:hAnsi="Times New Roman" w:cs="Times New Roman"/>
          <w:b/>
          <w:bCs/>
          <w:i/>
          <w:iCs/>
          <w:sz w:val="24"/>
          <w:szCs w:val="24"/>
        </w:rPr>
        <w:t xml:space="preserve"> rate results </w:t>
      </w:r>
    </w:p>
    <w:p w14:paraId="17E5A960" w14:textId="77777777" w:rsidR="00EB1CD9" w:rsidRDefault="27C27199" w:rsidP="27C27199">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Independent sample t-test showed no significant difference in resting HR response (80 seconds prior to start the BIAS task) between the two groups (SSF and SMB).</w:t>
      </w:r>
    </w:p>
    <w:p w14:paraId="609F8132" w14:textId="77777777" w:rsidR="0003138A" w:rsidRDefault="0003138A" w:rsidP="00C420EE">
      <w:pPr>
        <w:pStyle w:val="Default"/>
        <w:suppressLineNumbers/>
        <w:spacing w:line="480" w:lineRule="auto"/>
        <w:rPr>
          <w:rFonts w:ascii="Times New Roman" w:hAnsi="Times New Roman"/>
          <w:sz w:val="24"/>
          <w:szCs w:val="24"/>
        </w:rPr>
      </w:pPr>
    </w:p>
    <w:p w14:paraId="77034C67" w14:textId="115DA565" w:rsidR="00EA30D3" w:rsidRPr="0028797C" w:rsidRDefault="27C27199" w:rsidP="0028797C">
      <w:pPr>
        <w:pStyle w:val="Default"/>
        <w:spacing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A 2 x 2 mixed repeated measure ANOVA design was used for the statistical analysis. Uncertainty (low versus high) was the within subject variable, group background (SMB versus SSF) was the between subject variable, </w:t>
      </w:r>
      <w:r w:rsidRPr="00E119AB">
        <w:rPr>
          <w:rFonts w:ascii="Times New Roman" w:eastAsia="Times New Roman" w:hAnsi="Times New Roman" w:cs="Times New Roman"/>
          <w:sz w:val="24"/>
          <w:szCs w:val="24"/>
        </w:rPr>
        <w:t xml:space="preserve">and HR response around the choices (2s before and 2s after the choices) as dependent variable. </w:t>
      </w:r>
    </w:p>
    <w:p w14:paraId="54970C85" w14:textId="12D3293F" w:rsidR="001A56B9" w:rsidRPr="008B6080" w:rsidRDefault="0028797C" w:rsidP="27C27199">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w:t>
      </w:r>
      <w:r w:rsidR="27C27199" w:rsidRPr="008B6080">
        <w:rPr>
          <w:rFonts w:ascii="Times New Roman" w:eastAsia="Times New Roman" w:hAnsi="Times New Roman" w:cs="Times New Roman"/>
          <w:sz w:val="24"/>
          <w:szCs w:val="24"/>
        </w:rPr>
        <w:t xml:space="preserve">revealed a significant interaction between background and uncertainty, </w:t>
      </w:r>
      <w:r w:rsidR="27C27199" w:rsidRPr="008B6080">
        <w:rPr>
          <w:rFonts w:ascii="Times New Roman" w:eastAsia="Times New Roman" w:hAnsi="Times New Roman" w:cs="Times New Roman"/>
          <w:i/>
          <w:sz w:val="24"/>
          <w:szCs w:val="24"/>
        </w:rPr>
        <w:t>F</w:t>
      </w:r>
      <w:r w:rsidR="27C27199" w:rsidRPr="008B6080">
        <w:rPr>
          <w:rFonts w:ascii="Times New Roman" w:eastAsia="Times New Roman" w:hAnsi="Times New Roman" w:cs="Times New Roman"/>
          <w:sz w:val="24"/>
          <w:szCs w:val="24"/>
        </w:rPr>
        <w:t xml:space="preserve"> (1, 18) = 6.78, </w:t>
      </w:r>
      <w:r w:rsidR="27C27199" w:rsidRPr="008B6080">
        <w:rPr>
          <w:rFonts w:ascii="Times New Roman" w:eastAsia="Times New Roman" w:hAnsi="Times New Roman" w:cs="Times New Roman"/>
          <w:i/>
          <w:sz w:val="24"/>
          <w:szCs w:val="24"/>
        </w:rPr>
        <w:t>p</w:t>
      </w:r>
      <w:r w:rsidR="27C27199" w:rsidRPr="008B6080">
        <w:rPr>
          <w:rFonts w:ascii="Times New Roman" w:eastAsia="Times New Roman" w:hAnsi="Times New Roman" w:cs="Times New Roman"/>
          <w:sz w:val="24"/>
          <w:szCs w:val="24"/>
        </w:rPr>
        <w:t xml:space="preserve"> = .018. Planned paired-sample comparisons indicated that SSF had a significantly higher HR response during choices under high uncertainty, </w:t>
      </w:r>
      <w:r w:rsidR="27C27199" w:rsidRPr="008B6080">
        <w:rPr>
          <w:rFonts w:ascii="Times New Roman" w:eastAsia="Times New Roman" w:hAnsi="Times New Roman" w:cs="Times New Roman"/>
          <w:i/>
          <w:iCs/>
          <w:sz w:val="24"/>
          <w:szCs w:val="24"/>
        </w:rPr>
        <w:t>t</w:t>
      </w:r>
      <w:r w:rsidR="27C27199" w:rsidRPr="008B6080">
        <w:rPr>
          <w:rFonts w:ascii="Times New Roman" w:eastAsia="Times New Roman" w:hAnsi="Times New Roman" w:cs="Times New Roman"/>
          <w:sz w:val="24"/>
          <w:szCs w:val="24"/>
        </w:rPr>
        <w:t xml:space="preserve"> (9) = 2.24, </w:t>
      </w:r>
      <w:r w:rsidR="27C27199" w:rsidRPr="008B6080">
        <w:rPr>
          <w:rFonts w:ascii="Times New Roman" w:eastAsia="Times New Roman" w:hAnsi="Times New Roman" w:cs="Times New Roman"/>
          <w:i/>
          <w:iCs/>
          <w:sz w:val="24"/>
          <w:szCs w:val="24"/>
        </w:rPr>
        <w:t>p</w:t>
      </w:r>
      <w:r w:rsidR="27C27199" w:rsidRPr="008B6080">
        <w:rPr>
          <w:rFonts w:ascii="Times New Roman" w:eastAsia="Times New Roman" w:hAnsi="Times New Roman" w:cs="Times New Roman"/>
          <w:sz w:val="24"/>
          <w:szCs w:val="24"/>
        </w:rPr>
        <w:t xml:space="preserve"> = .05. This pattern was not found in the SMB group, who showed no differences in HR between choices under high and low uncertainty </w:t>
      </w:r>
      <w:r w:rsidR="27C27199" w:rsidRPr="008B6080">
        <w:rPr>
          <w:rFonts w:ascii="Times New Roman" w:eastAsia="Times New Roman" w:hAnsi="Times New Roman" w:cs="Times New Roman"/>
          <w:i/>
          <w:sz w:val="24"/>
          <w:szCs w:val="24"/>
        </w:rPr>
        <w:t>t</w:t>
      </w:r>
      <w:r w:rsidR="27C27199" w:rsidRPr="008B6080">
        <w:rPr>
          <w:rFonts w:ascii="Times New Roman" w:eastAsia="Times New Roman" w:hAnsi="Times New Roman" w:cs="Times New Roman"/>
          <w:sz w:val="24"/>
          <w:szCs w:val="24"/>
        </w:rPr>
        <w:t xml:space="preserve"> (9) = 1.34, </w:t>
      </w:r>
      <w:r w:rsidR="27C27199" w:rsidRPr="008B6080">
        <w:rPr>
          <w:rFonts w:ascii="Times New Roman" w:eastAsia="Times New Roman" w:hAnsi="Times New Roman" w:cs="Times New Roman"/>
          <w:i/>
          <w:sz w:val="24"/>
          <w:szCs w:val="24"/>
        </w:rPr>
        <w:t>p</w:t>
      </w:r>
      <w:r w:rsidR="27C27199" w:rsidRPr="008B6080">
        <w:rPr>
          <w:rFonts w:ascii="Times New Roman" w:eastAsia="Times New Roman" w:hAnsi="Times New Roman" w:cs="Times New Roman"/>
          <w:sz w:val="24"/>
          <w:szCs w:val="24"/>
        </w:rPr>
        <w:t xml:space="preserve"> = .21</w:t>
      </w:r>
      <w:r w:rsidR="27C27199" w:rsidRPr="008B6080">
        <w:t xml:space="preserve"> </w:t>
      </w:r>
      <w:r w:rsidR="27C27199" w:rsidRPr="008B6080">
        <w:rPr>
          <w:rFonts w:ascii="Times New Roman" w:eastAsia="Times New Roman" w:hAnsi="Times New Roman" w:cs="Times New Roman"/>
          <w:sz w:val="24"/>
          <w:szCs w:val="24"/>
        </w:rPr>
        <w:t>Figure</w:t>
      </w:r>
      <w:r w:rsidR="00E119AB">
        <w:rPr>
          <w:rFonts w:ascii="Times New Roman" w:eastAsia="Times New Roman" w:hAnsi="Times New Roman" w:cs="Times New Roman"/>
          <w:sz w:val="24"/>
          <w:szCs w:val="24"/>
        </w:rPr>
        <w:t xml:space="preserve"> 4</w:t>
      </w:r>
      <w:r w:rsidR="27C27199" w:rsidRPr="008B6080">
        <w:rPr>
          <w:rFonts w:ascii="Times New Roman" w:eastAsia="Times New Roman" w:hAnsi="Times New Roman" w:cs="Times New Roman"/>
          <w:sz w:val="24"/>
          <w:szCs w:val="24"/>
        </w:rPr>
        <w:t xml:space="preserve"> </w:t>
      </w:r>
      <w:r w:rsidR="27C27199" w:rsidRPr="008B6080">
        <w:rPr>
          <w:rFonts w:ascii="Times New Roman" w:eastAsia="Times New Roman" w:hAnsi="Times New Roman" w:cs="Times New Roman"/>
          <w:sz w:val="24"/>
          <w:szCs w:val="24"/>
          <w:rtl/>
          <w:lang w:bidi="he-IL"/>
        </w:rPr>
        <w:t>ז</w:t>
      </w:r>
      <w:r w:rsidR="27C27199" w:rsidRPr="008B6080">
        <w:rPr>
          <w:rFonts w:ascii="Times New Roman" w:eastAsia="Times New Roman" w:hAnsi="Times New Roman" w:cs="Times New Roman"/>
          <w:sz w:val="24"/>
          <w:szCs w:val="24"/>
        </w:rPr>
        <w:t>.</w:t>
      </w:r>
    </w:p>
    <w:p w14:paraId="41C822F5" w14:textId="77777777" w:rsidR="00F2754A" w:rsidRPr="008B6080" w:rsidRDefault="00F2754A" w:rsidP="00C420EE">
      <w:pPr>
        <w:pStyle w:val="Default"/>
        <w:suppressLineNumbers/>
        <w:spacing w:line="480" w:lineRule="auto"/>
        <w:rPr>
          <w:rFonts w:ascii="Times New Roman" w:hAnsi="Times New Roman" w:cs="Times New Roman"/>
          <w:sz w:val="24"/>
          <w:szCs w:val="24"/>
        </w:rPr>
      </w:pPr>
    </w:p>
    <w:p w14:paraId="1C1BDA08" w14:textId="352FCB7D" w:rsidR="00BA2655" w:rsidRDefault="00E119AB" w:rsidP="00E119AB">
      <w:pPr>
        <w:pStyle w:val="BodyA"/>
        <w:suppressLineNumbers/>
        <w:spacing w:after="200" w:line="480" w:lineRule="auto"/>
        <w:rPr>
          <w:rFonts w:ascii="Times New Roman" w:hAnsi="Times New Roman"/>
          <w:sz w:val="24"/>
          <w:szCs w:val="24"/>
        </w:rPr>
      </w:pPr>
      <w:r>
        <w:rPr>
          <w:rFonts w:ascii="Times New Roman" w:eastAsia="Times New Roman" w:hAnsi="Times New Roman" w:cs="Times New Roman"/>
          <w:noProof/>
          <w:sz w:val="24"/>
          <w:szCs w:val="24"/>
          <w:lang w:val="en-GB"/>
        </w:rPr>
        <w:lastRenderedPageBreak/>
        <w:drawing>
          <wp:inline distT="0" distB="0" distL="0" distR="0" wp14:anchorId="059E463E" wp14:editId="229A8E21">
            <wp:extent cx="5760000" cy="39148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BCB9F0.tmp"/>
                    <pic:cNvPicPr/>
                  </pic:nvPicPr>
                  <pic:blipFill>
                    <a:blip r:embed="rId14">
                      <a:extLst>
                        <a:ext uri="{28A0092B-C50C-407E-A947-70E740481C1C}">
                          <a14:useLocalDpi xmlns:a14="http://schemas.microsoft.com/office/drawing/2010/main" val="0"/>
                        </a:ext>
                      </a:extLst>
                    </a:blip>
                    <a:stretch>
                      <a:fillRect/>
                    </a:stretch>
                  </pic:blipFill>
                  <pic:spPr>
                    <a:xfrm>
                      <a:off x="0" y="0"/>
                      <a:ext cx="5760000" cy="3914849"/>
                    </a:xfrm>
                    <a:prstGeom prst="rect">
                      <a:avLst/>
                    </a:prstGeom>
                  </pic:spPr>
                </pic:pic>
              </a:graphicData>
            </a:graphic>
          </wp:inline>
        </w:drawing>
      </w:r>
    </w:p>
    <w:p w14:paraId="158A0D2A" w14:textId="77777777" w:rsidR="00E119AB" w:rsidRDefault="00E119AB" w:rsidP="27C27199">
      <w:pPr>
        <w:spacing w:line="480" w:lineRule="auto"/>
      </w:pPr>
    </w:p>
    <w:p w14:paraId="4A387573" w14:textId="77777777" w:rsidR="000778EC" w:rsidRPr="00706032" w:rsidRDefault="27C27199" w:rsidP="27C27199">
      <w:pPr>
        <w:spacing w:line="480" w:lineRule="auto"/>
      </w:pPr>
      <w:r w:rsidRPr="00706032">
        <w:t xml:space="preserve">Moreover, given the small sample size used in the study, a non-parametric test was also run on comparison between HR and SCR under high and low uncertainty within the group of SSF. </w:t>
      </w:r>
    </w:p>
    <w:p w14:paraId="72FE9F9B" w14:textId="77777777" w:rsidR="005769A9" w:rsidRPr="009E02B8" w:rsidRDefault="27C27199" w:rsidP="00EB0171">
      <w:pPr>
        <w:spacing w:line="480" w:lineRule="auto"/>
      </w:pPr>
      <w:r w:rsidRPr="00706032">
        <w:t xml:space="preserve">Wilcoxon signed-ranks test indicates that HR under high uncertainty was significantly higher than HR under low uncertainty in SSF, </w:t>
      </w:r>
      <w:r w:rsidRPr="008B6080">
        <w:rPr>
          <w:i/>
        </w:rPr>
        <w:t>Z</w:t>
      </w:r>
      <w:r w:rsidRPr="00706032">
        <w:t xml:space="preserve"> = -1.98, </w:t>
      </w:r>
      <w:r w:rsidRPr="008B6080">
        <w:rPr>
          <w:i/>
        </w:rPr>
        <w:t>p</w:t>
      </w:r>
      <w:r w:rsidRPr="00706032">
        <w:t xml:space="preserve"> = 0.047. Furthermore, Wilcoxon signed-ranks test indicates that SCR under high uncertainty was significant</w:t>
      </w:r>
      <w:r w:rsidR="003C643F" w:rsidRPr="00706032">
        <w:t>ly higher than SCR</w:t>
      </w:r>
      <w:r w:rsidRPr="00706032">
        <w:t xml:space="preserve"> under low uncertainty in SSF, </w:t>
      </w:r>
      <w:r w:rsidRPr="008B6080">
        <w:rPr>
          <w:i/>
        </w:rPr>
        <w:t>Z</w:t>
      </w:r>
      <w:r w:rsidRPr="00706032">
        <w:t xml:space="preserve"> = -2.13, </w:t>
      </w:r>
      <w:r w:rsidRPr="008B6080">
        <w:rPr>
          <w:i/>
        </w:rPr>
        <w:t>p</w:t>
      </w:r>
      <w:r w:rsidRPr="00706032">
        <w:t xml:space="preserve"> = 0.033.</w:t>
      </w:r>
    </w:p>
    <w:p w14:paraId="2D3DED8D" w14:textId="77777777" w:rsidR="009E02B8" w:rsidRDefault="009E02B8" w:rsidP="00EB0171">
      <w:pPr>
        <w:spacing w:line="480" w:lineRule="auto"/>
        <w:rPr>
          <w:b/>
          <w:i/>
        </w:rPr>
      </w:pPr>
    </w:p>
    <w:p w14:paraId="3BCF17F5" w14:textId="77777777" w:rsidR="007D4605" w:rsidRPr="00EB0171" w:rsidRDefault="27C27199" w:rsidP="27C27199">
      <w:pPr>
        <w:spacing w:line="480" w:lineRule="auto"/>
        <w:rPr>
          <w:rFonts w:ascii="Arial Unicode MS" w:hAnsi="Arial Unicode MS" w:cs="Arial Unicode MS"/>
          <w:b/>
          <w:bCs/>
          <w:i/>
          <w:iCs/>
          <w:color w:val="000000" w:themeColor="text1"/>
          <w:lang w:eastAsia="en-GB"/>
        </w:rPr>
      </w:pPr>
      <w:r w:rsidRPr="27C27199">
        <w:rPr>
          <w:b/>
          <w:bCs/>
          <w:i/>
          <w:iCs/>
        </w:rPr>
        <w:t>Skin Conductance Response results</w:t>
      </w:r>
    </w:p>
    <w:p w14:paraId="12D6F4C3" w14:textId="77777777" w:rsidR="0085503A"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lastRenderedPageBreak/>
        <w:t xml:space="preserve">A mixed 2 x 2 mixed repeated measure ANOVA design with uncertainty (low versus high) as within subject variable,  group background (SMB versus SSF) as between subject variable, and SCR (4s window prior to choice) during the BIAS task was the dependent variable. </w:t>
      </w:r>
    </w:p>
    <w:p w14:paraId="5B789FC0" w14:textId="77777777" w:rsidR="009C3504"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Analysis showed a significant interaction between background and uncertainty, </w:t>
      </w:r>
      <w:r w:rsidRPr="27C27199">
        <w:rPr>
          <w:rFonts w:ascii="Times New Roman" w:eastAsia="Times New Roman" w:hAnsi="Times New Roman" w:cs="Times New Roman"/>
          <w:i/>
          <w:iCs/>
          <w:sz w:val="24"/>
          <w:szCs w:val="24"/>
        </w:rPr>
        <w:t>F</w:t>
      </w:r>
      <w:r w:rsidRPr="27C27199">
        <w:rPr>
          <w:rFonts w:ascii="Times New Roman" w:eastAsia="Times New Roman" w:hAnsi="Times New Roman" w:cs="Times New Roman"/>
          <w:sz w:val="24"/>
          <w:szCs w:val="24"/>
        </w:rPr>
        <w:t xml:space="preserve"> (1, 18) = 4.52, </w:t>
      </w:r>
      <w:r w:rsidRPr="27C27199">
        <w:rPr>
          <w:rFonts w:ascii="Times New Roman" w:eastAsia="Times New Roman" w:hAnsi="Times New Roman" w:cs="Times New Roman"/>
          <w:i/>
          <w:iCs/>
          <w:sz w:val="24"/>
          <w:szCs w:val="24"/>
        </w:rPr>
        <w:t>p</w:t>
      </w:r>
      <w:r w:rsidRPr="27C27199">
        <w:rPr>
          <w:rFonts w:ascii="Times New Roman" w:eastAsia="Times New Roman" w:hAnsi="Times New Roman" w:cs="Times New Roman"/>
          <w:sz w:val="24"/>
          <w:szCs w:val="24"/>
        </w:rPr>
        <w:t xml:space="preserve"> = .04. Planned post-hoc paired sample comparisons indicated that SSF had a higher SCR preceding choices under high rather than low uncertainty, </w:t>
      </w:r>
      <w:r w:rsidRPr="008B6080">
        <w:rPr>
          <w:rFonts w:ascii="Times New Roman" w:eastAsia="Times New Roman" w:hAnsi="Times New Roman" w:cs="Times New Roman"/>
          <w:i/>
          <w:sz w:val="24"/>
          <w:szCs w:val="24"/>
        </w:rPr>
        <w:t>t</w:t>
      </w:r>
      <w:r w:rsidRPr="00706032">
        <w:rPr>
          <w:rFonts w:ascii="Times New Roman" w:eastAsia="Times New Roman" w:hAnsi="Times New Roman" w:cs="Times New Roman"/>
          <w:sz w:val="24"/>
          <w:szCs w:val="24"/>
        </w:rPr>
        <w:t xml:space="preserve"> (9) = 2.16, </w:t>
      </w:r>
      <w:r w:rsidRPr="008B6080">
        <w:rPr>
          <w:rFonts w:ascii="Times New Roman" w:eastAsia="Times New Roman" w:hAnsi="Times New Roman" w:cs="Times New Roman"/>
          <w:i/>
          <w:sz w:val="24"/>
          <w:szCs w:val="24"/>
        </w:rPr>
        <w:t>p</w:t>
      </w:r>
      <w:r w:rsidRPr="00706032">
        <w:rPr>
          <w:rFonts w:ascii="Times New Roman" w:eastAsia="Times New Roman" w:hAnsi="Times New Roman" w:cs="Times New Roman"/>
          <w:sz w:val="24"/>
          <w:szCs w:val="24"/>
        </w:rPr>
        <w:t xml:space="preserve"> = .059</w:t>
      </w:r>
      <w:r w:rsidRPr="27C27199">
        <w:rPr>
          <w:rFonts w:ascii="Times New Roman" w:eastAsia="Times New Roman" w:hAnsi="Times New Roman" w:cs="Times New Roman"/>
          <w:sz w:val="24"/>
          <w:szCs w:val="24"/>
        </w:rPr>
        <w:t xml:space="preserve"> (trend of significance)</w:t>
      </w:r>
      <w:r>
        <w:t xml:space="preserve"> </w:t>
      </w:r>
      <w:r w:rsidRPr="27C27199">
        <w:rPr>
          <w:rFonts w:ascii="Times New Roman" w:eastAsia="Times New Roman" w:hAnsi="Times New Roman" w:cs="Times New Roman"/>
          <w:sz w:val="24"/>
          <w:szCs w:val="24"/>
        </w:rPr>
        <w:t>whereas the SMB did not</w:t>
      </w:r>
      <w:r w:rsidRPr="00706032">
        <w:rPr>
          <w:rFonts w:ascii="Times New Roman" w:eastAsia="Times New Roman" w:hAnsi="Times New Roman" w:cs="Times New Roman"/>
          <w:sz w:val="24"/>
          <w:szCs w:val="24"/>
        </w:rPr>
        <w:t xml:space="preserve">, </w:t>
      </w:r>
      <w:r w:rsidRPr="008B6080">
        <w:rPr>
          <w:rFonts w:ascii="Times New Roman" w:eastAsia="Times New Roman" w:hAnsi="Times New Roman" w:cs="Times New Roman"/>
          <w:i/>
          <w:sz w:val="24"/>
          <w:szCs w:val="24"/>
        </w:rPr>
        <w:t>t</w:t>
      </w:r>
      <w:r w:rsidRPr="00706032">
        <w:rPr>
          <w:rFonts w:ascii="Times New Roman" w:eastAsia="Times New Roman" w:hAnsi="Times New Roman" w:cs="Times New Roman"/>
          <w:sz w:val="24"/>
          <w:szCs w:val="24"/>
        </w:rPr>
        <w:t xml:space="preserve"> (9) = .20, </w:t>
      </w:r>
      <w:r w:rsidRPr="008B6080">
        <w:rPr>
          <w:rFonts w:ascii="Times New Roman" w:eastAsia="Times New Roman" w:hAnsi="Times New Roman" w:cs="Times New Roman"/>
          <w:i/>
          <w:sz w:val="24"/>
          <w:szCs w:val="24"/>
        </w:rPr>
        <w:t>p</w:t>
      </w:r>
      <w:r w:rsidRPr="00706032">
        <w:rPr>
          <w:rFonts w:ascii="Times New Roman" w:eastAsia="Times New Roman" w:hAnsi="Times New Roman" w:cs="Times New Roman"/>
          <w:sz w:val="24"/>
          <w:szCs w:val="24"/>
        </w:rPr>
        <w:t xml:space="preserve"> = .85.</w:t>
      </w:r>
    </w:p>
    <w:p w14:paraId="49E21833" w14:textId="76A6BA4C" w:rsidR="00E119AB" w:rsidRDefault="00DF0DF2" w:rsidP="27C27199">
      <w:pPr>
        <w:pStyle w:val="BodyA"/>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inline distT="0" distB="0" distL="0" distR="0" wp14:anchorId="7545F270" wp14:editId="4FC7BAB4">
            <wp:extent cx="5832000" cy="35851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BC80B9.tmp"/>
                    <pic:cNvPicPr/>
                  </pic:nvPicPr>
                  <pic:blipFill>
                    <a:blip r:embed="rId15">
                      <a:extLst>
                        <a:ext uri="{28A0092B-C50C-407E-A947-70E740481C1C}">
                          <a14:useLocalDpi xmlns:a14="http://schemas.microsoft.com/office/drawing/2010/main" val="0"/>
                        </a:ext>
                      </a:extLst>
                    </a:blip>
                    <a:stretch>
                      <a:fillRect/>
                    </a:stretch>
                  </pic:blipFill>
                  <pic:spPr>
                    <a:xfrm>
                      <a:off x="0" y="0"/>
                      <a:ext cx="5832000" cy="3585180"/>
                    </a:xfrm>
                    <a:prstGeom prst="rect">
                      <a:avLst/>
                    </a:prstGeom>
                  </pic:spPr>
                </pic:pic>
              </a:graphicData>
            </a:graphic>
          </wp:inline>
        </w:drawing>
      </w:r>
    </w:p>
    <w:p w14:paraId="7F951A90" w14:textId="4EF919CB" w:rsidR="00E119AB" w:rsidRPr="00BA2655" w:rsidRDefault="00E119AB" w:rsidP="27C27199">
      <w:pPr>
        <w:pStyle w:val="BodyA"/>
        <w:spacing w:after="200" w:line="480" w:lineRule="auto"/>
        <w:rPr>
          <w:rFonts w:ascii="Times New Roman" w:eastAsia="Times New Roman" w:hAnsi="Times New Roman" w:cs="Times New Roman"/>
          <w:sz w:val="24"/>
          <w:szCs w:val="24"/>
        </w:rPr>
      </w:pPr>
    </w:p>
    <w:p w14:paraId="6FE005D6" w14:textId="77777777" w:rsidR="00431584"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lastRenderedPageBreak/>
        <w:t>Finally, neither HR nor SCR differed in preceding RSM, RAM, and optimal choices. The only difference found was related to the level of uncertainty reported above.</w:t>
      </w:r>
    </w:p>
    <w:p w14:paraId="448BD81B" w14:textId="1A858752" w:rsidR="002602BB" w:rsidRPr="002602BB" w:rsidRDefault="00E119AB" w:rsidP="002602BB">
      <w:pPr>
        <w:pStyle w:val="BodyA"/>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inline distT="0" distB="0" distL="0" distR="0" wp14:anchorId="0FA51B99" wp14:editId="033FA85F">
            <wp:extent cx="5453170" cy="2964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BCBE84.tmp"/>
                    <pic:cNvPicPr/>
                  </pic:nvPicPr>
                  <pic:blipFill>
                    <a:blip r:embed="rId16">
                      <a:extLst>
                        <a:ext uri="{28A0092B-C50C-407E-A947-70E740481C1C}">
                          <a14:useLocalDpi xmlns:a14="http://schemas.microsoft.com/office/drawing/2010/main" val="0"/>
                        </a:ext>
                      </a:extLst>
                    </a:blip>
                    <a:stretch>
                      <a:fillRect/>
                    </a:stretch>
                  </pic:blipFill>
                  <pic:spPr>
                    <a:xfrm>
                      <a:off x="0" y="0"/>
                      <a:ext cx="5460932" cy="2968399"/>
                    </a:xfrm>
                    <a:prstGeom prst="rect">
                      <a:avLst/>
                    </a:prstGeom>
                  </pic:spPr>
                </pic:pic>
              </a:graphicData>
            </a:graphic>
          </wp:inline>
        </w:drawing>
      </w:r>
    </w:p>
    <w:p w14:paraId="4E23A609" w14:textId="77777777" w:rsidR="002B44C8" w:rsidRDefault="002B44C8" w:rsidP="27C27199">
      <w:pPr>
        <w:pStyle w:val="Body"/>
        <w:suppressLineNumbers/>
        <w:spacing w:line="480" w:lineRule="auto"/>
        <w:rPr>
          <w:rFonts w:ascii="Cambria" w:eastAsia="Cambria" w:hAnsi="Cambria" w:cs="Cambria"/>
          <w:b/>
          <w:bCs/>
        </w:rPr>
      </w:pPr>
    </w:p>
    <w:p w14:paraId="48A5781E" w14:textId="77777777" w:rsidR="002B44C8" w:rsidRDefault="002B44C8" w:rsidP="27C27199">
      <w:pPr>
        <w:pStyle w:val="Body"/>
        <w:suppressLineNumbers/>
        <w:spacing w:line="480" w:lineRule="auto"/>
        <w:rPr>
          <w:rFonts w:ascii="Cambria" w:eastAsia="Cambria" w:hAnsi="Cambria" w:cs="Cambria"/>
          <w:b/>
          <w:bCs/>
        </w:rPr>
      </w:pPr>
    </w:p>
    <w:p w14:paraId="43EE5555" w14:textId="77777777" w:rsidR="00963590" w:rsidRDefault="27C27199" w:rsidP="27C27199">
      <w:pPr>
        <w:pStyle w:val="Body"/>
        <w:suppressLineNumbers/>
        <w:spacing w:line="480" w:lineRule="auto"/>
        <w:rPr>
          <w:rFonts w:ascii="Cambria" w:eastAsia="Cambria" w:hAnsi="Cambria" w:cs="Cambria"/>
          <w:b/>
          <w:bCs/>
        </w:rPr>
      </w:pPr>
      <w:r w:rsidRPr="27C27199">
        <w:rPr>
          <w:rFonts w:ascii="Cambria" w:eastAsia="Cambria" w:hAnsi="Cambria" w:cs="Cambria"/>
          <w:b/>
          <w:bCs/>
        </w:rPr>
        <w:t>Discussion</w:t>
      </w:r>
    </w:p>
    <w:p w14:paraId="294C6955" w14:textId="6F407616" w:rsidR="00963590"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The aim of the study was to provide preliminary evidence </w:t>
      </w:r>
      <w:r w:rsidR="00F93219">
        <w:rPr>
          <w:rFonts w:ascii="Times New Roman" w:eastAsia="Times New Roman" w:hAnsi="Times New Roman" w:cs="Times New Roman"/>
          <w:sz w:val="24"/>
          <w:szCs w:val="24"/>
        </w:rPr>
        <w:t>regarding</w:t>
      </w:r>
      <w:r w:rsidR="00F93219" w:rsidRPr="27C27199">
        <w:rPr>
          <w:rFonts w:ascii="Times New Roman" w:eastAsia="Times New Roman" w:hAnsi="Times New Roman" w:cs="Times New Roman"/>
          <w:sz w:val="24"/>
          <w:szCs w:val="24"/>
        </w:rPr>
        <w:t xml:space="preserve"> </w:t>
      </w:r>
      <w:r w:rsidRPr="27C27199">
        <w:rPr>
          <w:rFonts w:ascii="Times New Roman" w:eastAsia="Times New Roman" w:hAnsi="Times New Roman" w:cs="Times New Roman"/>
          <w:sz w:val="24"/>
          <w:szCs w:val="24"/>
        </w:rPr>
        <w:t>the application of the SMH in investment choices. Specifically, the study aimed to understand the role of somatic markers elicited by primary inducers (preceding choices in low and high uncertainty) or secondary inducers (emotions elicited by the task per se) in groups of students with different financial knowledge/expertise (SSF versus SMB).</w:t>
      </w:r>
    </w:p>
    <w:p w14:paraId="7371B858" w14:textId="16FF29F9" w:rsidR="00737B77" w:rsidRPr="001E2F68"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lastRenderedPageBreak/>
        <w:t xml:space="preserve">Before describing and interpreting the results, it is worth noting that both groups under investigation – SSF and SMB - did not show any significant behavioral differences in </w:t>
      </w:r>
      <w:r w:rsidRPr="00706032">
        <w:rPr>
          <w:rFonts w:ascii="Times New Roman" w:eastAsia="Times New Roman" w:hAnsi="Times New Roman" w:cs="Times New Roman"/>
          <w:sz w:val="24"/>
          <w:szCs w:val="24"/>
        </w:rPr>
        <w:t>their propensity toward uncertainty and ambiguity measured using the BART task.</w:t>
      </w:r>
      <w:r w:rsidRPr="27C27199">
        <w:rPr>
          <w:rFonts w:ascii="Times New Roman" w:eastAsia="Times New Roman" w:hAnsi="Times New Roman" w:cs="Times New Roman"/>
          <w:sz w:val="24"/>
          <w:szCs w:val="24"/>
        </w:rPr>
        <w:t xml:space="preserve">  This suggests that behavioral differences found in the BIAS task between SSF and SMB </w:t>
      </w:r>
      <w:r w:rsidRPr="00DF0DF2">
        <w:rPr>
          <w:rFonts w:ascii="Times New Roman" w:eastAsia="Times New Roman" w:hAnsi="Times New Roman" w:cs="Times New Roman"/>
          <w:color w:val="auto"/>
          <w:sz w:val="24"/>
          <w:szCs w:val="24"/>
        </w:rPr>
        <w:t xml:space="preserve">groups are unlikely to be driven by existing differences in propensity toward </w:t>
      </w:r>
      <w:r w:rsidR="0016610B" w:rsidRPr="00DF0DF2">
        <w:rPr>
          <w:rFonts w:ascii="Times New Roman" w:eastAsia="Times New Roman" w:hAnsi="Times New Roman" w:cs="Times New Roman"/>
          <w:color w:val="auto"/>
          <w:sz w:val="24"/>
          <w:szCs w:val="24"/>
        </w:rPr>
        <w:t xml:space="preserve">ambiguity and uncertainty </w:t>
      </w:r>
      <w:r w:rsidRPr="00DF0DF2">
        <w:rPr>
          <w:rFonts w:ascii="Times New Roman" w:eastAsia="Times New Roman" w:hAnsi="Times New Roman" w:cs="Times New Roman"/>
          <w:color w:val="auto"/>
          <w:sz w:val="24"/>
          <w:szCs w:val="24"/>
        </w:rPr>
        <w:t xml:space="preserve">, </w:t>
      </w:r>
      <w:r w:rsidRPr="00DF0DF2">
        <w:rPr>
          <w:rFonts w:ascii="Times New Roman" w:eastAsia="Times New Roman" w:hAnsi="Times New Roman" w:cs="Times New Roman"/>
          <w:sz w:val="24"/>
          <w:szCs w:val="24"/>
        </w:rPr>
        <w:t>nor</w:t>
      </w:r>
      <w:r w:rsidRPr="00706032">
        <w:rPr>
          <w:rFonts w:ascii="Times New Roman" w:eastAsia="Times New Roman" w:hAnsi="Times New Roman" w:cs="Times New Roman"/>
          <w:sz w:val="24"/>
          <w:szCs w:val="24"/>
        </w:rPr>
        <w:t xml:space="preserve"> any arousal responses a product of the BART task but, rather, likely</w:t>
      </w:r>
      <w:r w:rsidRPr="27C27199">
        <w:rPr>
          <w:rFonts w:ascii="Times New Roman" w:eastAsia="Times New Roman" w:hAnsi="Times New Roman" w:cs="Times New Roman"/>
          <w:sz w:val="24"/>
          <w:szCs w:val="24"/>
        </w:rPr>
        <w:t xml:space="preserve"> to be induced by somatic markers elicited by financial uncertainty (built in the BIAS). This gives support to the usefulness of the BIAS task within investment scenarios and highlights this as a method of testing for future research.  Similarly, in terms of arousal levels, the two groups showed no significant differences in resting heart rate prior to performing the BIAS task, which suggests that arousal differences between SSF and SMB during the BIAS were primarily modulated by the task. </w:t>
      </w:r>
    </w:p>
    <w:p w14:paraId="6CB9F955" w14:textId="77777777" w:rsidR="00737B77" w:rsidRPr="001E2F68"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At the behavioral level, the SSF group made a lower number of optimal choices under high than low uncertainty compared to the SMB group; who showed no difference in the number of optimal choices under low and high uncertainty.</w:t>
      </w:r>
    </w:p>
    <w:p w14:paraId="359F2B57" w14:textId="0BFD597D" w:rsidR="00963590"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Significant differences were found on arousal measures (HR and SCR) between SSF and SMB, depending on the level of uncertainty (low versus high) during investment choice-making.. This suggests that somatic markers and physiological arousal have an impact on decision </w:t>
      </w:r>
      <w:r w:rsidRPr="27C27199">
        <w:rPr>
          <w:rFonts w:ascii="Times New Roman" w:eastAsia="Times New Roman" w:hAnsi="Times New Roman" w:cs="Times New Roman"/>
          <w:sz w:val="24"/>
          <w:szCs w:val="24"/>
        </w:rPr>
        <w:lastRenderedPageBreak/>
        <w:t xml:space="preserve">making, and that somatic markers respond differently in those with and without financial expertise. </w:t>
      </w:r>
    </w:p>
    <w:p w14:paraId="364E6D04" w14:textId="77777777" w:rsidR="00963590"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Despite their financial knowledge, SSF performed significantly worse than SMB under high financial uncertainty. This result would appear controversial if somatic markers were not recorded, but the difference in physiological activity between SSF and SMB gives an interesting input on data interpretation. Results showed significant interactions between both SCR and HR (under low and high uncertainty) and background (SSF versus SMB) during investment choices. In other words, both groups showed a pattern of behavior strictly related to their own physiological response, and congruent with the level of uncertainty. Specifically, high or low uncertainty functioned as primary inducers that elicited specific somatic markers for each level of uncertainty. According to the SMH, participants’ choices were preceded by unconscious physiological response that facilitated advantageous decision making in conditions of low uncertainty.</w:t>
      </w:r>
    </w:p>
    <w:p w14:paraId="79B90612" w14:textId="7E08F08D" w:rsidR="00963590"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However, under high uncertainty SSF did not perform optimally. This finding deserves particular attention. In fact, somatic markers that enabled SSF to distinguish between high and low financial </w:t>
      </w:r>
      <w:r w:rsidR="00862132" w:rsidRPr="27C27199">
        <w:rPr>
          <w:rFonts w:ascii="Times New Roman" w:eastAsia="Times New Roman" w:hAnsi="Times New Roman" w:cs="Times New Roman"/>
          <w:sz w:val="24"/>
          <w:szCs w:val="24"/>
        </w:rPr>
        <w:t>uncertainties</w:t>
      </w:r>
      <w:r w:rsidRPr="27C27199">
        <w:rPr>
          <w:rFonts w:ascii="Times New Roman" w:eastAsia="Times New Roman" w:hAnsi="Times New Roman" w:cs="Times New Roman"/>
          <w:sz w:val="24"/>
          <w:szCs w:val="24"/>
        </w:rPr>
        <w:t xml:space="preserve"> worked properly but the expected response was not seen at a </w:t>
      </w:r>
      <w:r w:rsidR="00862132" w:rsidRPr="27C27199">
        <w:rPr>
          <w:rFonts w:ascii="Times New Roman" w:eastAsia="Times New Roman" w:hAnsi="Times New Roman" w:cs="Times New Roman"/>
          <w:sz w:val="24"/>
          <w:szCs w:val="24"/>
        </w:rPr>
        <w:t>behavioral</w:t>
      </w:r>
      <w:r w:rsidRPr="27C27199">
        <w:rPr>
          <w:rFonts w:ascii="Times New Roman" w:eastAsia="Times New Roman" w:hAnsi="Times New Roman" w:cs="Times New Roman"/>
          <w:sz w:val="24"/>
          <w:szCs w:val="24"/>
        </w:rPr>
        <w:t xml:space="preserve"> level. One of the plausible reasons why SSF could not decide optimally under high uncertainty could be because of other somatic markers that were elicited by co-occurring secondary inducers (e.g. the demands of </w:t>
      </w:r>
      <w:r w:rsidRPr="27C27199">
        <w:rPr>
          <w:rFonts w:ascii="Times New Roman" w:eastAsia="Times New Roman" w:hAnsi="Times New Roman" w:cs="Times New Roman"/>
          <w:sz w:val="24"/>
          <w:szCs w:val="24"/>
        </w:rPr>
        <w:lastRenderedPageBreak/>
        <w:t xml:space="preserve">the task). It seems that somatic markers elicited by secondary inducers maintained the level of arousal in SSF significantly higher than SMB throughout the whole task. In essence, SSF experienced emotions (probably elicited by the task) that disrupted their ability to maximize their profit. </w:t>
      </w:r>
    </w:p>
    <w:p w14:paraId="4A2AD5A7" w14:textId="10B6139B" w:rsidR="00963590"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To expand on this, we speculate that the valence of the emotions experienced was negative (e.g., fear, stress, or anxiety) because of the aversive impact it had. The “dark side” of emotions in investment choices has been found to lead typical individuals to adopt more conservative strategies, and therefore to make decreased number of advantageous decisions</w:t>
      </w:r>
      <w:r w:rsidR="002B44C8">
        <w:rPr>
          <w:rFonts w:ascii="Times New Roman" w:eastAsia="Times New Roman" w:hAnsi="Times New Roman" w:cs="Times New Roman"/>
          <w:sz w:val="24"/>
          <w:szCs w:val="24"/>
        </w:rPr>
        <w:t xml:space="preserve"> </w:t>
      </w:r>
      <w:r w:rsidR="002B44C8">
        <w:rPr>
          <w:rFonts w:ascii="Times New Roman" w:eastAsia="Times New Roman" w:hAnsi="Times New Roman" w:cs="Times New Roman"/>
          <w:sz w:val="24"/>
          <w:szCs w:val="24"/>
        </w:rPr>
        <w:fldChar w:fldCharType="begin" w:fldLock="1"/>
      </w:r>
      <w:r w:rsidR="002B44C8">
        <w:rPr>
          <w:rFonts w:ascii="Times New Roman" w:eastAsia="Times New Roman" w:hAnsi="Times New Roman" w:cs="Times New Roman"/>
          <w:sz w:val="24"/>
          <w:szCs w:val="24"/>
        </w:rPr>
        <w:instrText>ADDIN CSL_CITATION { "citationItems" : [ { "id" : "ITEM-1", "itemData" : { "DOI" : "10.1111/j.0956-7976.2005.01553.x", "ISBN" : "0956-7976", "ISSN" : "0956-7976", "PMID" : "15943668", "abstract" : "Can dysfunction in neural systems subserving emotion lead, under certain circumstances, to more advantageous decisions? To answer this question, we investigated how normal participants, patients with stable focal lesions in brain regions related to emotion (target patients), and patients with stable focal lesions in brain regions unrelated to emotion (control patients) made 20 rounds of investment decisions. Target patients made more advantageous decisions and ultimately earned more money from their investments than the normal participants and control patients. When normal participants and control patients either won or lost money on an investment round, they adopted a conservative strategy and became more reluctant to invest on the subsequent round; these results suggest that they were more affected than target patients by the outcomes of decisions made in the previous rounds.", "author" : [ { "dropping-particle" : "", "family" : "Shiv", "given" : "Baba", "non-dropping-particle" : "", "parse-names" : false, "suffix" : "" }, { "dropping-particle" : "", "family" : "Loewenstein", "given" : "George", "non-dropping-particle" : "", "parse-names" : false, "suffix" : "" }, { "dropping-particle" : "", "family" : "Bechara", "given" : "Antoine", "non-dropping-particle" : "", "parse-names" : false, "suffix" : "" }, { "dropping-particle" : "", "family" : "Damasio", "given" : "Hanna", "non-dropping-particle" : "", "parse-names" : false, "suffix" : "" }, { "dropping-particle" : "", "family" : "Damasio", "given" : "Antonio R", "non-dropping-particle" : "", "parse-names" : false, "suffix" : "" } ], "container-title" : "Psychological science : a journal of the American Psychological Society / APS", "id" : "ITEM-1", "issue" : "6", "issued" : { "date-parts" : [ [ "2005" ] ] }, "page" : "435-439", "title" : "Investment behavior and the negative side of emotion.", "type" : "article-journal", "volume" : "16" }, "uris" : [ "http://www.mendeley.com/documents/?uuid=a8a3460a-94cc-46f9-942a-2162be9f6eb5" ] } ], "mendeley" : { "formattedCitation" : "(Shiv, Loewenstein, Bechara, Damasio, &amp; Damasio, 2005)", "manualFormatting" : "(Shiv, Loewenstein, Bechara, Damasio, &amp; Damasio, 2005)", "plainTextFormattedCitation" : "(Shiv, Loewenstein, Bechara, Damasio, &amp; Damasio, 2005)", "previouslyFormattedCitation" : "(Shiv, Loewenstein, Bechara, Damasio, &amp; Damasio, 2005)" }, "properties" : {  }, "schema" : "https://github.com/citation-style-language/schema/raw/master/csl-citation.json" }</w:instrText>
      </w:r>
      <w:r w:rsidR="002B44C8">
        <w:rPr>
          <w:rFonts w:ascii="Times New Roman" w:eastAsia="Times New Roman" w:hAnsi="Times New Roman" w:cs="Times New Roman"/>
          <w:sz w:val="24"/>
          <w:szCs w:val="24"/>
        </w:rPr>
        <w:fldChar w:fldCharType="separate"/>
      </w:r>
      <w:r w:rsidR="002B44C8">
        <w:rPr>
          <w:rFonts w:ascii="Times New Roman" w:eastAsia="Times New Roman" w:hAnsi="Times New Roman" w:cs="Times New Roman"/>
          <w:noProof/>
          <w:sz w:val="24"/>
          <w:szCs w:val="24"/>
        </w:rPr>
        <w:t>(</w:t>
      </w:r>
      <w:r w:rsidR="002B44C8" w:rsidRPr="002B44C8">
        <w:rPr>
          <w:rFonts w:ascii="Times New Roman" w:eastAsia="Times New Roman" w:hAnsi="Times New Roman" w:cs="Times New Roman"/>
          <w:noProof/>
          <w:sz w:val="24"/>
          <w:szCs w:val="24"/>
        </w:rPr>
        <w:t>Shiv, Loewenstein, Bechara, Damasio, &amp; Damasio, 2005)</w:t>
      </w:r>
      <w:r w:rsidR="002B44C8">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Moreover, not all negative emotions exert equal b</w:t>
      </w:r>
      <w:r w:rsidR="002B44C8">
        <w:rPr>
          <w:rFonts w:ascii="Times New Roman" w:eastAsia="Times New Roman" w:hAnsi="Times New Roman" w:cs="Times New Roman"/>
          <w:sz w:val="24"/>
          <w:szCs w:val="24"/>
        </w:rPr>
        <w:t xml:space="preserve">ehavioral responses </w:t>
      </w:r>
      <w:r w:rsidR="002B44C8">
        <w:rPr>
          <w:rFonts w:ascii="Times New Roman" w:eastAsia="Times New Roman" w:hAnsi="Times New Roman" w:cs="Times New Roman"/>
          <w:sz w:val="24"/>
          <w:szCs w:val="24"/>
        </w:rPr>
        <w:fldChar w:fldCharType="begin" w:fldLock="1"/>
      </w:r>
      <w:r w:rsidR="002B44C8">
        <w:rPr>
          <w:rFonts w:ascii="Times New Roman" w:eastAsia="Times New Roman" w:hAnsi="Times New Roman" w:cs="Times New Roman"/>
          <w:sz w:val="24"/>
          <w:szCs w:val="24"/>
        </w:rPr>
        <w:instrText>ADDIN CSL_CITATION { "citationItems" : [ { "id" : "ITEM-1", "itemData" : { "DOI" : "10.1006/obhd.1999.2838", "ISBN" : "0749-5978", "ISSN" : "0749-5978", "PMID" : "10388609", "abstract" : "Affective states of the same valence may have distinct, yet predictable, influences on decision processes. Results from three experiments show that, in gambling decisions, as well as in job-selection decisions, sad individuals are biased in favor of high-risk/high-reward options, whereas anxious individuals are biased in favor of low-risk/low-reward options. We argue that these biases occur because anxiety and sadness convey distinct types of information to the decision-maker and prime different goals. While anxiety primes an implicit goal of uncertainty reduction, sadness primes an implicit goal of reward replacement. We offer that these motivational influences operate through an active process of feeling monitoring, whereby anxious or sad individuals think about the options and ask themselves, \"What would I feel better about ellipsis?\" Copyright 1999 Academic Press.", "author" : [ { "dropping-particle" : "", "family" : "Raghunathan", "given" : "R", "non-dropping-particle" : "", "parse-names" : false, "suffix" : "" }, { "dropping-particle" : "", "family" : "Pham", "given" : "Mt", "non-dropping-particle" : "", "parse-names" : false, "suffix" : "" } ], "container-title" : "Organizational behavior and human decision processes", "id" : "ITEM-1", "issue" : "1", "issued" : { "date-parts" : [ [ "1999" ] ] }, "page" : "56-77", "title" : "All Negative Moods Are Not Equal: Motivational Influences of Anxiety and Sadness on Decision Making.", "type" : "article-journal", "volume" : "79" }, "uris" : [ "http://www.mendeley.com/documents/?uuid=d08bd212-9936-444d-ba9b-284e51802e07" ] } ], "mendeley" : { "formattedCitation" : "(Raghunathan &amp; Pham, 1999)", "plainTextFormattedCitation" : "(Raghunathan &amp; Pham, 1999)", "previouslyFormattedCitation" : "(Raghunathan &amp; Pham, 1999)" }, "properties" : {  }, "schema" : "https://github.com/citation-style-language/schema/raw/master/csl-citation.json" }</w:instrText>
      </w:r>
      <w:r w:rsidR="002B44C8">
        <w:rPr>
          <w:rFonts w:ascii="Times New Roman" w:eastAsia="Times New Roman" w:hAnsi="Times New Roman" w:cs="Times New Roman"/>
          <w:sz w:val="24"/>
          <w:szCs w:val="24"/>
        </w:rPr>
        <w:fldChar w:fldCharType="separate"/>
      </w:r>
      <w:r w:rsidR="002B44C8" w:rsidRPr="002B44C8">
        <w:rPr>
          <w:rFonts w:ascii="Times New Roman" w:eastAsia="Times New Roman" w:hAnsi="Times New Roman" w:cs="Times New Roman"/>
          <w:noProof/>
          <w:sz w:val="24"/>
          <w:szCs w:val="24"/>
        </w:rPr>
        <w:t>(Raghunathan &amp; Pham, 1999)</w:t>
      </w:r>
      <w:r w:rsidR="002B44C8">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for example, fear may promote risk a</w:t>
      </w:r>
      <w:r w:rsidR="002B44C8">
        <w:rPr>
          <w:rFonts w:ascii="Times New Roman" w:eastAsia="Times New Roman" w:hAnsi="Times New Roman" w:cs="Times New Roman"/>
          <w:sz w:val="24"/>
          <w:szCs w:val="24"/>
        </w:rPr>
        <w:t xml:space="preserve">version </w:t>
      </w:r>
      <w:r w:rsidR="002B44C8">
        <w:rPr>
          <w:rFonts w:ascii="Times New Roman" w:eastAsia="Times New Roman" w:hAnsi="Times New Roman" w:cs="Times New Roman"/>
          <w:sz w:val="24"/>
          <w:szCs w:val="24"/>
        </w:rPr>
        <w:fldChar w:fldCharType="begin" w:fldLock="1"/>
      </w:r>
      <w:r w:rsidR="002B44C8">
        <w:rPr>
          <w:rFonts w:ascii="Times New Roman" w:eastAsia="Times New Roman" w:hAnsi="Times New Roman" w:cs="Times New Roman"/>
          <w:sz w:val="24"/>
          <w:szCs w:val="24"/>
        </w:rPr>
        <w:instrText>ADDIN CSL_CITATION { "citationItems" : [ { "id" : "ITEM-1", "itemData" : { "DOI" : "10.1037/0022-3514.81.1.146", "ISBN" : "00223514", "ISSN" : "0022-3514", "PMID" : "11474720", "abstract" : "Drawing on an appraisal-tendency framework (J. S. Lerner &amp; D. Keltner, 2000), the authors predicted and found that fear and anger have opposite effects on risk perception. Whereas fearful people expressed pessimistic risk estimates and risk-averse choices, angry people expressed optimistic risk estimates and risk-seeking choices. These opposing patterns emerged for naturally occurring and experimentally induced fear and anger. Moreover, estimates of angry people more closely resembled those of happy people than those of fearful people. Consistent with predictions, appraisal tendencies accounted for these effects: Appraisals of certainty and control moderated and (in the case of control) mediated the emotion effects. As a complement to studies that link affective valence to judgment outcomes, the present studies highlight multiple benefits of studying specific emotions.", "author" : [ { "dropping-particle" : "", "family" : "Lerner", "given" : "J S", "non-dropping-particle" : "", "parse-names" : false, "suffix" : "" }, { "dropping-particle" : "", "family" : "Keltner", "given" : "D", "non-dropping-particle" : "", "parse-names" : false, "suffix" : "" } ], "container-title" : "Journal of personality and social psychology", "id" : "ITEM-1", "issue" : "1", "issued" : { "date-parts" : [ [ "2001" ] ] }, "page" : "146-159", "title" : "Fear, anger, and risk.", "type" : "article-journal", "volume" : "81" }, "uris" : [ "http://www.mendeley.com/documents/?uuid=bf6dff00-da02-4da6-8262-2dc8462c8c50" ] } ], "mendeley" : { "formattedCitation" : "(J S Lerner &amp; Keltner, 2001)", "manualFormatting" : "(Lerner &amp; Keltner, 2001)", "plainTextFormattedCitation" : "(J S Lerner &amp; Keltner, 2001)", "previouslyFormattedCitation" : "(J S Lerner &amp; Keltner, 2001)" }, "properties" : {  }, "schema" : "https://github.com/citation-style-language/schema/raw/master/csl-citation.json" }</w:instrText>
      </w:r>
      <w:r w:rsidR="002B44C8">
        <w:rPr>
          <w:rFonts w:ascii="Times New Roman" w:eastAsia="Times New Roman" w:hAnsi="Times New Roman" w:cs="Times New Roman"/>
          <w:sz w:val="24"/>
          <w:szCs w:val="24"/>
        </w:rPr>
        <w:fldChar w:fldCharType="separate"/>
      </w:r>
      <w:r w:rsidR="002B44C8">
        <w:rPr>
          <w:rFonts w:ascii="Times New Roman" w:eastAsia="Times New Roman" w:hAnsi="Times New Roman" w:cs="Times New Roman"/>
          <w:noProof/>
          <w:sz w:val="24"/>
          <w:szCs w:val="24"/>
        </w:rPr>
        <w:t>(</w:t>
      </w:r>
      <w:r w:rsidR="002B44C8" w:rsidRPr="002B44C8">
        <w:rPr>
          <w:rFonts w:ascii="Times New Roman" w:eastAsia="Times New Roman" w:hAnsi="Times New Roman" w:cs="Times New Roman"/>
          <w:noProof/>
          <w:sz w:val="24"/>
          <w:szCs w:val="24"/>
        </w:rPr>
        <w:t>Lerner &amp; Keltner, 2001)</w:t>
      </w:r>
      <w:r w:rsidR="002B44C8">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as well as anxiety </w:t>
      </w:r>
      <w:r w:rsidR="002B44C8">
        <w:rPr>
          <w:rFonts w:ascii="Times New Roman" w:eastAsia="Times New Roman" w:hAnsi="Times New Roman" w:cs="Times New Roman"/>
          <w:sz w:val="24"/>
          <w:szCs w:val="24"/>
        </w:rPr>
        <w:fldChar w:fldCharType="begin" w:fldLock="1"/>
      </w:r>
      <w:r w:rsidR="002B44C8">
        <w:rPr>
          <w:rFonts w:ascii="Times New Roman" w:eastAsia="Times New Roman" w:hAnsi="Times New Roman" w:cs="Times New Roman"/>
          <w:sz w:val="24"/>
          <w:szCs w:val="24"/>
        </w:rPr>
        <w:instrText>ADDIN CSL_CITATION { "citationItems" : [ { "id" : "ITEM-1", "itemData" : { "DOI" : "10.1016/j.paid.2006.08.016", "ISBN" : "0191-8869", "ISSN" : "01918869", "abstract" : "Three studies investigated the link between dispositional anxiety and the tendency to engage in risk-avoidant decision-making. Findings suggest that dispositional anxiety is associated with a pronounced bias toward making risk-avoidant choices. Individual differences in trait anxiety, worry, and social anxiety were each associated with risk-avoidance on a behavioral risk-taking task (Studies 1 and 2). Compared with other clinical patients (e.g., mood disorders) and non-clinical controls, anxiety disordered patients exhibited substantially greater risk-aversion (Study 3). Findings suggest that the relationship with risk-avoidance is specific to anxiety, and is not merely concomitant to the experience of negative affect. This research has implications for understanding the links between individual differences in affective processing and basic decision-making processes. \u00a9 2006 Elsevier Ltd. All rights reserved.", "author" : [ { "dropping-particle" : "", "family" : "Maner", "given" : "Jon K.", "non-dropping-particle" : "", "parse-names" : false, "suffix" : "" }, { "dropping-particle" : "", "family" : "Richey", "given" : "J. Anthony", "non-dropping-particle" : "", "parse-names" : false, "suffix" : "" }, { "dropping-particle" : "", "family" : "Cromer", "given" : "Kiara", "non-dropping-particle" : "", "parse-names" : false, "suffix" : "" }, { "dropping-particle" : "", "family" : "Mallott", "given" : "Mike", "non-dropping-particle" : "", "parse-names" : false, "suffix" : "" }, { "dropping-particle" : "", "family" : "Lejuez", "given" : "Carl W.", "non-dropping-particle" : "", "parse-names" : false, "suffix" : "" }, { "dropping-particle" : "", "family" : "Joiner", "given" : "Thomas E.", "non-dropping-particle" : "", "parse-names" : false, "suffix" : "" }, { "dropping-particle" : "", "family" : "Schmidt", "given" : "Norman B.", "non-dropping-particle" : "", "parse-names" : false, "suffix" : "" } ], "container-title" : "Personality and Individual Differences", "id" : "ITEM-1", "issue" : "4", "issued" : { "date-parts" : [ [ "2007" ] ] }, "page" : "665-675", "publisher" : "Elsevier Ltd", "title" : "Dispositional anxiety and risk-avoidant decision-making", "type" : "article-journal", "volume" : "42" }, "uris" : [ "http://www.mendeley.com/documents/?uuid=5e2f0654-c97c-48f4-811a-ca0b143ca0c1" ] } ], "mendeley" : { "formattedCitation" : "(Maner et al., 2007)", "plainTextFormattedCitation" : "(Maner et al., 2007)", "previouslyFormattedCitation" : "(Maner et al., 2007)" }, "properties" : {  }, "schema" : "https://github.com/citation-style-language/schema/raw/master/csl-citation.json" }</w:instrText>
      </w:r>
      <w:r w:rsidR="002B44C8">
        <w:rPr>
          <w:rFonts w:ascii="Times New Roman" w:eastAsia="Times New Roman" w:hAnsi="Times New Roman" w:cs="Times New Roman"/>
          <w:sz w:val="24"/>
          <w:szCs w:val="24"/>
        </w:rPr>
        <w:fldChar w:fldCharType="separate"/>
      </w:r>
      <w:r w:rsidR="002B44C8" w:rsidRPr="002B44C8">
        <w:rPr>
          <w:rFonts w:ascii="Times New Roman" w:eastAsia="Times New Roman" w:hAnsi="Times New Roman" w:cs="Times New Roman"/>
          <w:noProof/>
          <w:sz w:val="24"/>
          <w:szCs w:val="24"/>
        </w:rPr>
        <w:t>(Maner et al., 2007)</w:t>
      </w:r>
      <w:r w:rsidR="002B44C8">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On the other hand, acute stress may promote increased risky behavior in the loss-domain and increased conservatism in the gain-do</w:t>
      </w:r>
      <w:r w:rsidR="002B44C8">
        <w:rPr>
          <w:rFonts w:ascii="Times New Roman" w:eastAsia="Times New Roman" w:hAnsi="Times New Roman" w:cs="Times New Roman"/>
          <w:sz w:val="24"/>
          <w:szCs w:val="24"/>
        </w:rPr>
        <w:t xml:space="preserve">main </w:t>
      </w:r>
      <w:r w:rsidR="002B44C8">
        <w:rPr>
          <w:rFonts w:ascii="Times New Roman" w:eastAsia="Times New Roman" w:hAnsi="Times New Roman" w:cs="Times New Roman"/>
          <w:sz w:val="24"/>
          <w:szCs w:val="24"/>
        </w:rPr>
        <w:fldChar w:fldCharType="begin" w:fldLock="1"/>
      </w:r>
      <w:r w:rsidR="002B44C8">
        <w:rPr>
          <w:rFonts w:ascii="Times New Roman" w:eastAsia="Times New Roman" w:hAnsi="Times New Roman" w:cs="Times New Roman"/>
          <w:sz w:val="24"/>
          <w:szCs w:val="24"/>
        </w:rPr>
        <w:instrText>ADDIN CSL_CITATION { "citationItems" : [ { "id" : "ITEM-1", "itemData" : { "DOI" : "10.1111/j.1467-9280.2009.02288.x", "ISBN" : "1467-9280 (Electronic)\r0956-7976 (Linking)", "PMID" : "19207694", "abstract" : "People's decisions are often susceptible to various demands exerted by the environment, leading to stressful conditions. Although a goal for researchers is to elucidate stress-coping mechanisms to facilitate decision-making processes, it is important to first understand the interaction between the state created by a stressful environment and how decisions are performed in such environments. The objective of this experiment was to probe the impact of exposure to acute stress on financial decision making and examine the particular influence of stress on decisions with a positive or negative valence. Participants' choices exhibited a stronger reflection effect when participants were under stress than when they were in the no-stress control phase. This suggests that stress modulates risk taking, potentially exacerbating behavioral bias in subsequent decision making. Consistent with dual-process approaches, decision makers fall back on automatized reactions to risk under the influence of disruptive stress.", "author" : [ { "dropping-particle" : "", "family" : "Porcelli", "given" : "A J", "non-dropping-particle" : "", "parse-names" : false, "suffix" : "" }, { "dropping-particle" : "", "family" : "Delgado", "given" : "M R", "non-dropping-particle" : "", "parse-names" : false, "suffix" : "" } ], "container-title" : "Psychol Sci", "id" : "ITEM-1", "issue" : "3", "issued" : { "date-parts" : [ [ "2009" ] ] }, "note" : "Porcelli, Anthony J&lt;m:linebreak&gt;&lt;/m:linebreak&gt;Delgado, Mauricio R&lt;m:linebreak&gt;&lt;/m:linebreak&gt;eng&lt;m:linebreak&gt;&lt;/m:linebreak&gt;DA022998/DA/NIDA NIH HHS/&lt;m:linebreak&gt;&lt;/m:linebreak&gt;Research Support, N.I.H., Extramural&lt;m:linebreak&gt;&lt;/m:linebreak&gt;2009/02/12 09:00&lt;m:linebreak&gt;&lt;/m:linebreak&gt;Psychol Sci. 2009 Mar;20(3):278-83. doi: 10.1111/j.1467-9280.2009.02288.x. Epub 2009 Jan 30.", "page" : "278-283", "title" : "Acute stress modulates risk taking in financial decision making", "type" : "article-journal", "volume" : "20" }, "uris" : [ "http://www.mendeley.com/documents/?uuid=9ade2577-ceb1-4372-a6e2-645edff2acd2" ] } ], "mendeley" : { "formattedCitation" : "(Porcelli &amp; Delgado, 2009)", "plainTextFormattedCitation" : "(Porcelli &amp; Delgado, 2009)", "previouslyFormattedCitation" : "(Porcelli &amp; Delgado, 2009)" }, "properties" : {  }, "schema" : "https://github.com/citation-style-language/schema/raw/master/csl-citation.json" }</w:instrText>
      </w:r>
      <w:r w:rsidR="002B44C8">
        <w:rPr>
          <w:rFonts w:ascii="Times New Roman" w:eastAsia="Times New Roman" w:hAnsi="Times New Roman" w:cs="Times New Roman"/>
          <w:sz w:val="24"/>
          <w:szCs w:val="24"/>
        </w:rPr>
        <w:fldChar w:fldCharType="separate"/>
      </w:r>
      <w:r w:rsidR="002B44C8" w:rsidRPr="002B44C8">
        <w:rPr>
          <w:rFonts w:ascii="Times New Roman" w:eastAsia="Times New Roman" w:hAnsi="Times New Roman" w:cs="Times New Roman"/>
          <w:noProof/>
          <w:sz w:val="24"/>
          <w:szCs w:val="24"/>
        </w:rPr>
        <w:t>(Porcelli &amp; Delgado, 2009)</w:t>
      </w:r>
      <w:r w:rsidR="002B44C8">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In this context, physiological activity suggests that the task pe</w:t>
      </w:r>
      <w:r w:rsidR="008B6080">
        <w:rPr>
          <w:rFonts w:ascii="Times New Roman" w:eastAsia="Times New Roman" w:hAnsi="Times New Roman" w:cs="Times New Roman"/>
          <w:sz w:val="24"/>
          <w:szCs w:val="24"/>
        </w:rPr>
        <w:t>r se may have represented a source o</w:t>
      </w:r>
      <w:r w:rsidRPr="27C27199">
        <w:rPr>
          <w:rFonts w:ascii="Times New Roman" w:eastAsia="Times New Roman" w:hAnsi="Times New Roman" w:cs="Times New Roman"/>
          <w:sz w:val="24"/>
          <w:szCs w:val="24"/>
        </w:rPr>
        <w:t xml:space="preserve">f arousal (secondary inducer) for SSF and this explains why they made a significantly lower number of optimal choices in conditions of high uncertainty. High levels of stress had disrupted their ability to perform optimal investment choices, even if they could distinguish between high and low uncertainty conditions. </w:t>
      </w:r>
    </w:p>
    <w:p w14:paraId="68533DE9" w14:textId="11E71BC6" w:rsidR="00963590"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lastRenderedPageBreak/>
        <w:t>According to Loewenstein and Lerner (2003), emotions that are experienced at the moment of choice activate a number of visceral factors that alter the direction of one’s behavior in a way that is contrary to one’s self-interest. At a sufficient level of intensity, visceral factors cause people to behave against their better judgme</w:t>
      </w:r>
      <w:r w:rsidR="002B44C8">
        <w:rPr>
          <w:rFonts w:ascii="Times New Roman" w:eastAsia="Times New Roman" w:hAnsi="Times New Roman" w:cs="Times New Roman"/>
          <w:sz w:val="24"/>
          <w:szCs w:val="24"/>
        </w:rPr>
        <w:t xml:space="preserve">nts </w:t>
      </w:r>
      <w:r w:rsidR="002B44C8">
        <w:rPr>
          <w:rFonts w:ascii="Times New Roman" w:eastAsia="Times New Roman" w:hAnsi="Times New Roman" w:cs="Times New Roman"/>
          <w:sz w:val="24"/>
          <w:szCs w:val="24"/>
        </w:rPr>
        <w:fldChar w:fldCharType="begin" w:fldLock="1"/>
      </w:r>
      <w:r w:rsidR="002B44C8">
        <w:rPr>
          <w:rFonts w:ascii="Times New Roman" w:eastAsia="Times New Roman" w:hAnsi="Times New Roman" w:cs="Times New Roman"/>
          <w:sz w:val="24"/>
          <w:szCs w:val="24"/>
        </w:rPr>
        <w:instrText>ADDIN CSL_CITATION { "citationItems" : [ { "id" : "ITEM-1", "itemData" : { "author" : [ { "dropping-particle" : "", "family" : "Loewenstein", "given" : "G", "non-dropping-particle" : "", "parse-names" : false, "suffix" : "" }, { "dropping-particle" : "", "family" : "Lerner", "given" : "Jennifer S", "non-dropping-particle" : "", "parse-names" : false, "suffix" : "" } ], "chapter-number" : "The role o", "container-title" : "Handbook of affective science", "editor" : [ { "dropping-particle" : "", "family" : "Davidson", "given" : "Richard J", "non-dropping-particle" : "", "parse-names" : false, "suffix" : "" }, { "dropping-particle" : "", "family" : "Scherer", "given" : "Klaus R", "non-dropping-particle" : "", "parse-names" : false, "suffix" : "" }, { "dropping-particle" : "", "family" : "Goldsmith", "given" : "Hill H", "non-dropping-particle" : "", "parse-names" : false, "suffix" : "" } ], "id" : "ITEM-1", "issued" : { "date-parts" : [ [ "2003" ] ] }, "page" : "619-642", "publisher" : "Oxford University Press", "title" : "The role of affect in decision making", "type" : "chapter" }, "uris" : [ "http://www.mendeley.com/documents/?uuid=ef6a5476-bdfc-4cb9-aaa2-968383f031e8" ] } ], "mendeley" : { "formattedCitation" : "(Loewenstein &amp; Lerner, 2003)", "plainTextFormattedCitation" : "(Loewenstein &amp; Lerner, 2003)", "previouslyFormattedCitation" : "(Loewenstein &amp; Lerner, 2003)" }, "properties" : {  }, "schema" : "https://github.com/citation-style-language/schema/raw/master/csl-citation.json" }</w:instrText>
      </w:r>
      <w:r w:rsidR="002B44C8">
        <w:rPr>
          <w:rFonts w:ascii="Times New Roman" w:eastAsia="Times New Roman" w:hAnsi="Times New Roman" w:cs="Times New Roman"/>
          <w:sz w:val="24"/>
          <w:szCs w:val="24"/>
        </w:rPr>
        <w:fldChar w:fldCharType="separate"/>
      </w:r>
      <w:r w:rsidR="002B44C8" w:rsidRPr="002B44C8">
        <w:rPr>
          <w:rFonts w:ascii="Times New Roman" w:eastAsia="Times New Roman" w:hAnsi="Times New Roman" w:cs="Times New Roman"/>
          <w:noProof/>
          <w:sz w:val="24"/>
          <w:szCs w:val="24"/>
        </w:rPr>
        <w:t>(Loewenstein &amp; Lerner, 2003)</w:t>
      </w:r>
      <w:r w:rsidR="002B44C8">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Classic examples are drug addiction, gambling addiction, or sexual desire in which people are aware of the negative effect of the cravings, but cannot stop their behavior. </w:t>
      </w:r>
    </w:p>
    <w:p w14:paraId="5C7AF01B" w14:textId="77777777" w:rsidR="00963590"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An important contribution that this study gives to the SMH is that, during investment choices, somatic markers can be elicited by both primary and secondary inducers. Primary inducers have the adaptive role, and elicit somatic markers that guide individuals’ decisions under different levels of uncertainty. However, the “negative and stressful” thoughts that accompany the task also stimulate the secondary inducers. The present study suggests that secondary inducers may have a stronger impact on decision making (as observed in the SSF psychophysiological measures in comparison to their choice-making). </w:t>
      </w:r>
    </w:p>
    <w:p w14:paraId="735A1B31" w14:textId="77777777" w:rsidR="00963590"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t xml:space="preserve">Whilst the small sample does restrict the strength of these conclusions, like Bechara, Damasio, Tranel, and Damasio (1997), this study can be used as preliminary evidence to support the SMH in investment choices. As a starting point, this study highlights the ways in which future research can investigate the SMH in investment decision making. However, these results must be replicated in larger samples.   </w:t>
      </w:r>
    </w:p>
    <w:p w14:paraId="62D20968" w14:textId="4DF74A3B" w:rsidR="00963590" w:rsidRDefault="27C27199" w:rsidP="27C27199">
      <w:pPr>
        <w:pStyle w:val="BodyA"/>
        <w:spacing w:after="200" w:line="480" w:lineRule="auto"/>
        <w:rPr>
          <w:rFonts w:ascii="Times New Roman" w:eastAsia="Times New Roman" w:hAnsi="Times New Roman" w:cs="Times New Roman"/>
          <w:sz w:val="24"/>
          <w:szCs w:val="24"/>
        </w:rPr>
      </w:pPr>
      <w:r w:rsidRPr="27C27199">
        <w:rPr>
          <w:rFonts w:ascii="Times New Roman" w:eastAsia="Times New Roman" w:hAnsi="Times New Roman" w:cs="Times New Roman"/>
          <w:sz w:val="24"/>
          <w:szCs w:val="24"/>
        </w:rPr>
        <w:lastRenderedPageBreak/>
        <w:t xml:space="preserve">To conclude, this research has shown, firstly, that despite the influence of financial knowledge on decision-making, as speculated by </w:t>
      </w:r>
      <w:r w:rsidR="002B44C8">
        <w:rPr>
          <w:rFonts w:ascii="Times New Roman" w:eastAsia="Times New Roman" w:hAnsi="Times New Roman" w:cs="Times New Roman"/>
          <w:sz w:val="24"/>
          <w:szCs w:val="24"/>
        </w:rPr>
        <w:fldChar w:fldCharType="begin" w:fldLock="1"/>
      </w:r>
      <w:r w:rsidR="000427DA">
        <w:rPr>
          <w:rFonts w:ascii="Times New Roman" w:eastAsia="Times New Roman" w:hAnsi="Times New Roman" w:cs="Times New Roman"/>
          <w:sz w:val="24"/>
          <w:szCs w:val="24"/>
        </w:rPr>
        <w:instrText>ADDIN CSL_CITATION { "citationItems" : [ { "id" : "ITEM-1", "itemData" : { "DOI" : "10.1073/pnas.0406666101", "ISBN" : "0027-8424 (Print)\\n0027-8424 (Linking)", "ISSN" : "0027-8424", "PMID" : "15501919", "abstract" : "Bechara, Damasio, and coworkers [Bechara, A., Damasio, H., Tranel, D. &amp; Damasio, A. R. (1997) Science 275, 1293-1295] have reported that normal participants decide advantageously before knowing the advantageous strategy in a simple card game designed to mimic real-life decision-making. Bechara et al. have used this result to support their view that nonconscious somatic markers can guide advantageous behavior. By using more sensitive methods, we show that participants have much more knowledge about the game than previously thought. In fact, participants report knowledge of the advantageous strategy more reliably than they behave advantageously. Furthermore, when they behave advantageously, their verbal reports nearly always reveal evidence of quantitative knowledge about the outcomes of the decks that would be sufficient to guide such advantageous behavior. In addition, there is evidence that participants also have access to more qualitative reportable knowledge. These results are compatible with the view that, in this task, both overt behavior and verbal reports reflect sampling from consciously accessible knowledge; there is no need to appeal to nonconscious somatic markers. We also discuss the findings of other studies that similarly suggest alternative interpretations of other evidence previously used to support a role for somatic markers in decision-making.", "author" : [ { "dropping-particle" : "V", "family" : "Maia", "given" : "Tiago", "non-dropping-particle" : "", "parse-names" : false, "suffix" : "" }, { "dropping-particle" : "", "family" : "McClelland", "given" : "James L", "non-dropping-particle" : "", "parse-names" : false, "suffix" : "" } ], "container-title" : "Proceedings of the National Academy of Sciences of the United States of America", "id" : "ITEM-1", "issue" : "45", "issued" : { "date-parts" : [ [ "2004" ] ] }, "page" : "16075-80", "title" : "A reexamination of the evidence for the somatic marker hypothesis: what participants really know in the Iowa gambling task.", "type" : "article-journal", "volume" : "101" }, "uris" : [ "http://www.mendeley.com/documents/?uuid=b2044eea-acfc-4a71-a1c5-5495fd0cbb58" ] } ], "mendeley" : { "formattedCitation" : "(Maia &amp; McClelland, 2004)", "manualFormatting" : "Maia and McClelland (2004)", "plainTextFormattedCitation" : "(Maia &amp; McClelland, 2004)", "previouslyFormattedCitation" : "(Maia &amp; McClelland, 2004)" }, "properties" : {  }, "schema" : "https://github.com/citation-style-language/schema/raw/master/csl-citation.json" }</w:instrText>
      </w:r>
      <w:r w:rsidR="002B44C8">
        <w:rPr>
          <w:rFonts w:ascii="Times New Roman" w:eastAsia="Times New Roman" w:hAnsi="Times New Roman" w:cs="Times New Roman"/>
          <w:sz w:val="24"/>
          <w:szCs w:val="24"/>
        </w:rPr>
        <w:fldChar w:fldCharType="separate"/>
      </w:r>
      <w:r w:rsidR="000427DA">
        <w:rPr>
          <w:rFonts w:ascii="Times New Roman" w:eastAsia="Times New Roman" w:hAnsi="Times New Roman" w:cs="Times New Roman"/>
          <w:noProof/>
          <w:sz w:val="24"/>
          <w:szCs w:val="24"/>
        </w:rPr>
        <w:t>Maia and McClelland (2004</w:t>
      </w:r>
      <w:r w:rsidR="002B44C8" w:rsidRPr="002B44C8">
        <w:rPr>
          <w:rFonts w:ascii="Times New Roman" w:eastAsia="Times New Roman" w:hAnsi="Times New Roman" w:cs="Times New Roman"/>
          <w:noProof/>
          <w:sz w:val="24"/>
          <w:szCs w:val="24"/>
        </w:rPr>
        <w:t>)</w:t>
      </w:r>
      <w:r w:rsidR="002B44C8">
        <w:rPr>
          <w:rFonts w:ascii="Times New Roman" w:eastAsia="Times New Roman" w:hAnsi="Times New Roman" w:cs="Times New Roman"/>
          <w:sz w:val="24"/>
          <w:szCs w:val="24"/>
        </w:rPr>
        <w:fldChar w:fldCharType="end"/>
      </w:r>
      <w:r w:rsidRPr="27C27199">
        <w:rPr>
          <w:rFonts w:ascii="Times New Roman" w:eastAsia="Times New Roman" w:hAnsi="Times New Roman" w:cs="Times New Roman"/>
          <w:sz w:val="24"/>
          <w:szCs w:val="24"/>
        </w:rPr>
        <w:t xml:space="preserve">, the impact of somatic markers is stronger in guiding optimal decisions. Secondly, somatic markers do guide the decision-making process in finance; especially, they enable individuals to understand when the situation implies high or low financial uncertainty. Thirdly, although the effect of somatic markers elicited by primary inducers might be beneficial, their positive impact can be suppressed by secondary inducers. </w:t>
      </w:r>
    </w:p>
    <w:p w14:paraId="2EBFB61F" w14:textId="77777777" w:rsidR="00703EEE" w:rsidRDefault="00703EEE" w:rsidP="00C420EE">
      <w:pPr>
        <w:pStyle w:val="Body"/>
        <w:suppressLineNumbers/>
        <w:spacing w:line="480" w:lineRule="auto"/>
        <w:rPr>
          <w:rFonts w:ascii="Cambria" w:eastAsia="Cambria" w:hAnsi="Cambria" w:cs="Cambria"/>
          <w:b/>
          <w:bCs/>
        </w:rPr>
      </w:pPr>
    </w:p>
    <w:p w14:paraId="0BBA86DA" w14:textId="77777777" w:rsidR="00703EEE" w:rsidRDefault="00703EEE" w:rsidP="00C420EE">
      <w:pPr>
        <w:pStyle w:val="Body"/>
        <w:suppressLineNumbers/>
        <w:spacing w:line="480" w:lineRule="auto"/>
        <w:rPr>
          <w:rFonts w:ascii="Cambria" w:eastAsia="Cambria" w:hAnsi="Cambria" w:cs="Cambria"/>
          <w:b/>
          <w:bCs/>
        </w:rPr>
      </w:pPr>
    </w:p>
    <w:p w14:paraId="0DD40688" w14:textId="77777777" w:rsidR="00703EEE" w:rsidRDefault="00703EEE" w:rsidP="00C420EE">
      <w:pPr>
        <w:pStyle w:val="Body"/>
        <w:suppressLineNumbers/>
        <w:spacing w:line="480" w:lineRule="auto"/>
        <w:rPr>
          <w:rFonts w:ascii="Cambria" w:eastAsia="Cambria" w:hAnsi="Cambria" w:cs="Cambria"/>
          <w:b/>
          <w:bCs/>
        </w:rPr>
      </w:pPr>
    </w:p>
    <w:p w14:paraId="7EAE2B46" w14:textId="77777777" w:rsidR="004A4EF3" w:rsidRDefault="004A4EF3" w:rsidP="00C420EE">
      <w:pPr>
        <w:pStyle w:val="Body"/>
        <w:suppressLineNumbers/>
        <w:spacing w:line="480" w:lineRule="auto"/>
        <w:rPr>
          <w:rFonts w:ascii="Cambria" w:eastAsia="Cambria" w:hAnsi="Cambria" w:cs="Cambria"/>
          <w:b/>
          <w:bCs/>
        </w:rPr>
      </w:pPr>
    </w:p>
    <w:p w14:paraId="1A0B3EC3" w14:textId="77777777" w:rsidR="001A56B9" w:rsidRPr="00C420EE" w:rsidRDefault="27C27199" w:rsidP="00C420EE">
      <w:pPr>
        <w:pStyle w:val="Body"/>
        <w:suppressLineNumbers/>
        <w:spacing w:line="480" w:lineRule="auto"/>
      </w:pPr>
      <w:r w:rsidRPr="27C27199">
        <w:rPr>
          <w:rFonts w:ascii="Cambria" w:eastAsia="Cambria" w:hAnsi="Cambria" w:cs="Cambria"/>
          <w:b/>
          <w:bCs/>
        </w:rPr>
        <w:t>References</w:t>
      </w:r>
    </w:p>
    <w:p w14:paraId="01D8C372" w14:textId="727BDB32"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fldChar w:fldCharType="begin" w:fldLock="1"/>
      </w:r>
      <w:r>
        <w:instrText xml:space="preserve">ADDIN Mendeley Bibliography CSL_BIBLIOGRAPHY </w:instrText>
      </w:r>
      <w:r>
        <w:fldChar w:fldCharType="separate"/>
      </w:r>
      <w:r w:rsidRPr="004A4EF3">
        <w:rPr>
          <w:rFonts w:ascii="Helvetica" w:hAnsi="Helvetica" w:cs="Helvetica"/>
          <w:noProof/>
          <w:sz w:val="22"/>
        </w:rPr>
        <w:t xml:space="preserve">Amiez, C., Procyk, E., Honoré, J., Sequeira, H., &amp; Joseph, J. P. (2003). Reward anticipation, cognition, and electrodermal activity in the conditioned monkey. </w:t>
      </w:r>
      <w:r w:rsidRPr="004A4EF3">
        <w:rPr>
          <w:rFonts w:ascii="Helvetica" w:hAnsi="Helvetica" w:cs="Helvetica"/>
          <w:i/>
          <w:iCs/>
          <w:noProof/>
          <w:sz w:val="22"/>
        </w:rPr>
        <w:t>Experimental Brain Research</w:t>
      </w:r>
      <w:r w:rsidRPr="004A4EF3">
        <w:rPr>
          <w:rFonts w:ascii="Helvetica" w:hAnsi="Helvetica" w:cs="Helvetica"/>
          <w:noProof/>
          <w:sz w:val="22"/>
        </w:rPr>
        <w:t xml:space="preserve">, </w:t>
      </w:r>
      <w:r w:rsidRPr="004A4EF3">
        <w:rPr>
          <w:rFonts w:ascii="Helvetica" w:hAnsi="Helvetica" w:cs="Helvetica"/>
          <w:i/>
          <w:iCs/>
          <w:noProof/>
          <w:sz w:val="22"/>
        </w:rPr>
        <w:t>149</w:t>
      </w:r>
      <w:r w:rsidRPr="004A4EF3">
        <w:rPr>
          <w:rFonts w:ascii="Helvetica" w:hAnsi="Helvetica" w:cs="Helvetica"/>
          <w:noProof/>
          <w:sz w:val="22"/>
        </w:rPr>
        <w:t>(3), 267–275. https://doi.org/10.1007/s00221-002-1353-9</w:t>
      </w:r>
    </w:p>
    <w:p w14:paraId="73CE98B2"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Bechara, A., &amp; Damasio, A. R. (2005). The somatic marker hypothesis: A neural theory of economic decision. </w:t>
      </w:r>
      <w:r w:rsidRPr="004A4EF3">
        <w:rPr>
          <w:rFonts w:ascii="Helvetica" w:hAnsi="Helvetica" w:cs="Helvetica"/>
          <w:i/>
          <w:iCs/>
          <w:noProof/>
          <w:sz w:val="22"/>
        </w:rPr>
        <w:t>Games and Economic Behavior</w:t>
      </w:r>
      <w:r w:rsidRPr="004A4EF3">
        <w:rPr>
          <w:rFonts w:ascii="Helvetica" w:hAnsi="Helvetica" w:cs="Helvetica"/>
          <w:noProof/>
          <w:sz w:val="22"/>
        </w:rPr>
        <w:t xml:space="preserve">, </w:t>
      </w:r>
      <w:r w:rsidRPr="004A4EF3">
        <w:rPr>
          <w:rFonts w:ascii="Helvetica" w:hAnsi="Helvetica" w:cs="Helvetica"/>
          <w:i/>
          <w:iCs/>
          <w:noProof/>
          <w:sz w:val="22"/>
        </w:rPr>
        <w:t>52</w:t>
      </w:r>
      <w:r w:rsidRPr="004A4EF3">
        <w:rPr>
          <w:rFonts w:ascii="Helvetica" w:hAnsi="Helvetica" w:cs="Helvetica"/>
          <w:noProof/>
          <w:sz w:val="22"/>
        </w:rPr>
        <w:t>(2), 336–372. https://doi.org/10.1016/j.geb.2004.06.010</w:t>
      </w:r>
    </w:p>
    <w:p w14:paraId="57C4CBEB"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lastRenderedPageBreak/>
        <w:t xml:space="preserve">Bechara, A., Damasio, H., Tranel, D., &amp; Damasio, A. R. (1997). Deciding advantageously before knowing the advantageous strategy. </w:t>
      </w:r>
      <w:r w:rsidRPr="004A4EF3">
        <w:rPr>
          <w:rFonts w:ascii="Helvetica" w:hAnsi="Helvetica" w:cs="Helvetica"/>
          <w:i/>
          <w:iCs/>
          <w:noProof/>
          <w:sz w:val="22"/>
        </w:rPr>
        <w:t>Science (New York, N.Y.)</w:t>
      </w:r>
      <w:r w:rsidRPr="004A4EF3">
        <w:rPr>
          <w:rFonts w:ascii="Helvetica" w:hAnsi="Helvetica" w:cs="Helvetica"/>
          <w:noProof/>
          <w:sz w:val="22"/>
        </w:rPr>
        <w:t xml:space="preserve">, </w:t>
      </w:r>
      <w:r w:rsidRPr="004A4EF3">
        <w:rPr>
          <w:rFonts w:ascii="Helvetica" w:hAnsi="Helvetica" w:cs="Helvetica"/>
          <w:i/>
          <w:iCs/>
          <w:noProof/>
          <w:sz w:val="22"/>
        </w:rPr>
        <w:t>275</w:t>
      </w:r>
      <w:r w:rsidRPr="004A4EF3">
        <w:rPr>
          <w:rFonts w:ascii="Helvetica" w:hAnsi="Helvetica" w:cs="Helvetica"/>
          <w:noProof/>
          <w:sz w:val="22"/>
        </w:rPr>
        <w:t>(5304), 1293–1295. https://doi.org/10.1126/science.275.5304.1293</w:t>
      </w:r>
    </w:p>
    <w:p w14:paraId="33CFCC77"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Bechara, A., Dolan, S., &amp; Hindes, A. (2002). Decision-making and addiction (part II): myopia for the future or hypersensitivity to reward? </w:t>
      </w:r>
      <w:r w:rsidRPr="004A4EF3">
        <w:rPr>
          <w:rFonts w:ascii="Helvetica" w:hAnsi="Helvetica" w:cs="Helvetica"/>
          <w:i/>
          <w:iCs/>
          <w:noProof/>
          <w:sz w:val="22"/>
        </w:rPr>
        <w:t>Neuropsychologia</w:t>
      </w:r>
      <w:r w:rsidRPr="004A4EF3">
        <w:rPr>
          <w:rFonts w:ascii="Helvetica" w:hAnsi="Helvetica" w:cs="Helvetica"/>
          <w:noProof/>
          <w:sz w:val="22"/>
        </w:rPr>
        <w:t xml:space="preserve">, </w:t>
      </w:r>
      <w:r w:rsidRPr="004A4EF3">
        <w:rPr>
          <w:rFonts w:ascii="Helvetica" w:hAnsi="Helvetica" w:cs="Helvetica"/>
          <w:i/>
          <w:iCs/>
          <w:noProof/>
          <w:sz w:val="22"/>
        </w:rPr>
        <w:t>40</w:t>
      </w:r>
      <w:r w:rsidRPr="004A4EF3">
        <w:rPr>
          <w:rFonts w:ascii="Helvetica" w:hAnsi="Helvetica" w:cs="Helvetica"/>
          <w:noProof/>
          <w:sz w:val="22"/>
        </w:rPr>
        <w:t>(10), 1690–1705. https://doi.org/10.1016/S0028-3932(02)00016-7</w:t>
      </w:r>
    </w:p>
    <w:p w14:paraId="45E3BFC1"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Bradley, M. M. (2009). Natural selective attention: Orienting and emotion. In </w:t>
      </w:r>
      <w:r w:rsidRPr="004A4EF3">
        <w:rPr>
          <w:rFonts w:ascii="Helvetica" w:hAnsi="Helvetica" w:cs="Helvetica"/>
          <w:i/>
          <w:iCs/>
          <w:noProof/>
          <w:sz w:val="22"/>
        </w:rPr>
        <w:t>Psychophysiology</w:t>
      </w:r>
      <w:r w:rsidRPr="004A4EF3">
        <w:rPr>
          <w:rFonts w:ascii="Helvetica" w:hAnsi="Helvetica" w:cs="Helvetica"/>
          <w:noProof/>
          <w:sz w:val="22"/>
        </w:rPr>
        <w:t>. https://doi.org/10.1111/j.1469-8986.2008.00702.x</w:t>
      </w:r>
    </w:p>
    <w:p w14:paraId="4D4036BD"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Buelow, M. T., &amp; Suhr, J. A. (2009). Construct validity of the Iowa gambling task. </w:t>
      </w:r>
      <w:r w:rsidRPr="004A4EF3">
        <w:rPr>
          <w:rFonts w:ascii="Helvetica" w:hAnsi="Helvetica" w:cs="Helvetica"/>
          <w:i/>
          <w:iCs/>
          <w:noProof/>
          <w:sz w:val="22"/>
        </w:rPr>
        <w:t>Neuropsychology Review</w:t>
      </w:r>
      <w:r w:rsidRPr="004A4EF3">
        <w:rPr>
          <w:rFonts w:ascii="Helvetica" w:hAnsi="Helvetica" w:cs="Helvetica"/>
          <w:noProof/>
          <w:sz w:val="22"/>
        </w:rPr>
        <w:t xml:space="preserve">, </w:t>
      </w:r>
      <w:r w:rsidRPr="004A4EF3">
        <w:rPr>
          <w:rFonts w:ascii="Helvetica" w:hAnsi="Helvetica" w:cs="Helvetica"/>
          <w:i/>
          <w:iCs/>
          <w:noProof/>
          <w:sz w:val="22"/>
        </w:rPr>
        <w:t>19</w:t>
      </w:r>
      <w:r w:rsidRPr="004A4EF3">
        <w:rPr>
          <w:rFonts w:ascii="Helvetica" w:hAnsi="Helvetica" w:cs="Helvetica"/>
          <w:noProof/>
          <w:sz w:val="22"/>
        </w:rPr>
        <w:t>(1), 102–114. https://doi.org/10.1007/s11065-009-9083-4</w:t>
      </w:r>
    </w:p>
    <w:p w14:paraId="3380D285"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Colombetti, G. (2008). The Somatic Mrker Hypothesis, and what the IOWA gambling task does and does not show. </w:t>
      </w:r>
      <w:r w:rsidRPr="004A4EF3">
        <w:rPr>
          <w:rFonts w:ascii="Helvetica" w:hAnsi="Helvetica" w:cs="Helvetica"/>
          <w:i/>
          <w:iCs/>
          <w:noProof/>
          <w:sz w:val="22"/>
        </w:rPr>
        <w:t>The British Journal for the Philosophy of Science</w:t>
      </w:r>
      <w:r w:rsidRPr="004A4EF3">
        <w:rPr>
          <w:rFonts w:ascii="Helvetica" w:hAnsi="Helvetica" w:cs="Helvetica"/>
          <w:noProof/>
          <w:sz w:val="22"/>
        </w:rPr>
        <w:t xml:space="preserve">, </w:t>
      </w:r>
      <w:r w:rsidRPr="004A4EF3">
        <w:rPr>
          <w:rFonts w:ascii="Helvetica" w:hAnsi="Helvetica" w:cs="Helvetica"/>
          <w:i/>
          <w:iCs/>
          <w:noProof/>
          <w:sz w:val="22"/>
        </w:rPr>
        <w:t>59</w:t>
      </w:r>
      <w:r w:rsidRPr="004A4EF3">
        <w:rPr>
          <w:rFonts w:ascii="Helvetica" w:hAnsi="Helvetica" w:cs="Helvetica"/>
          <w:noProof/>
          <w:sz w:val="22"/>
        </w:rPr>
        <w:t>, 51–71.</w:t>
      </w:r>
    </w:p>
    <w:p w14:paraId="7018F455"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Crone, E. A., &amp; Van Der Molen, M. W. (2007). Development of decision making in school-aged children and adolescents: Evidence from heart rate and skin conductance analysis. </w:t>
      </w:r>
      <w:r w:rsidRPr="004A4EF3">
        <w:rPr>
          <w:rFonts w:ascii="Helvetica" w:hAnsi="Helvetica" w:cs="Helvetica"/>
          <w:i/>
          <w:iCs/>
          <w:noProof/>
          <w:sz w:val="22"/>
        </w:rPr>
        <w:t>Child Development</w:t>
      </w:r>
      <w:r w:rsidRPr="004A4EF3">
        <w:rPr>
          <w:rFonts w:ascii="Helvetica" w:hAnsi="Helvetica" w:cs="Helvetica"/>
          <w:noProof/>
          <w:sz w:val="22"/>
        </w:rPr>
        <w:t xml:space="preserve">, </w:t>
      </w:r>
      <w:r w:rsidRPr="004A4EF3">
        <w:rPr>
          <w:rFonts w:ascii="Helvetica" w:hAnsi="Helvetica" w:cs="Helvetica"/>
          <w:i/>
          <w:iCs/>
          <w:noProof/>
          <w:sz w:val="22"/>
        </w:rPr>
        <w:t>78</w:t>
      </w:r>
      <w:r w:rsidRPr="004A4EF3">
        <w:rPr>
          <w:rFonts w:ascii="Helvetica" w:hAnsi="Helvetica" w:cs="Helvetica"/>
          <w:noProof/>
          <w:sz w:val="22"/>
        </w:rPr>
        <w:t>(4), 1288–1301. https://doi.org/10.1111/j.1467-8624.2007.01066.x</w:t>
      </w:r>
    </w:p>
    <w:p w14:paraId="08624DAE"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lastRenderedPageBreak/>
        <w:t xml:space="preserve">Han, S., Lerner, J., &amp; Keltner, D. (2006). </w:t>
      </w:r>
      <w:r w:rsidRPr="004A4EF3">
        <w:rPr>
          <w:rFonts w:ascii="Helvetica" w:hAnsi="Helvetica" w:cs="Helvetica"/>
          <w:i/>
          <w:iCs/>
          <w:noProof/>
          <w:sz w:val="22"/>
        </w:rPr>
        <w:t>Feelings and consumer decision making: The appraisal-tendency framework</w:t>
      </w:r>
      <w:r w:rsidRPr="004A4EF3">
        <w:rPr>
          <w:rFonts w:ascii="Helvetica" w:hAnsi="Helvetica" w:cs="Helvetica"/>
          <w:noProof/>
          <w:sz w:val="22"/>
        </w:rPr>
        <w:t xml:space="preserve">. </w:t>
      </w:r>
      <w:r w:rsidRPr="004A4EF3">
        <w:rPr>
          <w:rFonts w:ascii="Helvetica" w:hAnsi="Helvetica" w:cs="Helvetica"/>
          <w:i/>
          <w:iCs/>
          <w:noProof/>
          <w:sz w:val="22"/>
        </w:rPr>
        <w:t>Journal of Consumer Psychology</w:t>
      </w:r>
      <w:r w:rsidRPr="004A4EF3">
        <w:rPr>
          <w:rFonts w:ascii="Helvetica" w:hAnsi="Helvetica" w:cs="Helvetica"/>
          <w:noProof/>
          <w:sz w:val="22"/>
        </w:rPr>
        <w:t xml:space="preserve"> (Vol. 17). https://doi.org/10.1126/science.1125877</w:t>
      </w:r>
    </w:p>
    <w:p w14:paraId="3E4AB5CC"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Jennings, J. R., &amp; Van Der Molen, M. W. (2002). Cardiac timing and the central regulation of action. </w:t>
      </w:r>
      <w:r w:rsidRPr="004A4EF3">
        <w:rPr>
          <w:rFonts w:ascii="Helvetica" w:hAnsi="Helvetica" w:cs="Helvetica"/>
          <w:i/>
          <w:iCs/>
          <w:noProof/>
          <w:sz w:val="22"/>
        </w:rPr>
        <w:t>Psychological Research</w:t>
      </w:r>
      <w:r w:rsidRPr="004A4EF3">
        <w:rPr>
          <w:rFonts w:ascii="Helvetica" w:hAnsi="Helvetica" w:cs="Helvetica"/>
          <w:noProof/>
          <w:sz w:val="22"/>
        </w:rPr>
        <w:t xml:space="preserve">, </w:t>
      </w:r>
      <w:r w:rsidRPr="004A4EF3">
        <w:rPr>
          <w:rFonts w:ascii="Helvetica" w:hAnsi="Helvetica" w:cs="Helvetica"/>
          <w:i/>
          <w:iCs/>
          <w:noProof/>
          <w:sz w:val="22"/>
        </w:rPr>
        <w:t>66</w:t>
      </w:r>
      <w:r w:rsidRPr="004A4EF3">
        <w:rPr>
          <w:rFonts w:ascii="Helvetica" w:hAnsi="Helvetica" w:cs="Helvetica"/>
          <w:noProof/>
          <w:sz w:val="22"/>
        </w:rPr>
        <w:t>(4), 337–349. https://doi.org/10.1007/s00426-002-0106-5</w:t>
      </w:r>
    </w:p>
    <w:p w14:paraId="532D25AE"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Kuhnen, C. M., &amp; Knutson, B. (2005). The neural basis of financial risk taking. </w:t>
      </w:r>
      <w:r w:rsidRPr="004A4EF3">
        <w:rPr>
          <w:rFonts w:ascii="Helvetica" w:hAnsi="Helvetica" w:cs="Helvetica"/>
          <w:i/>
          <w:iCs/>
          <w:noProof/>
          <w:sz w:val="22"/>
        </w:rPr>
        <w:t>Neuron</w:t>
      </w:r>
      <w:r w:rsidRPr="004A4EF3">
        <w:rPr>
          <w:rFonts w:ascii="Helvetica" w:hAnsi="Helvetica" w:cs="Helvetica"/>
          <w:noProof/>
          <w:sz w:val="22"/>
        </w:rPr>
        <w:t xml:space="preserve">, </w:t>
      </w:r>
      <w:r w:rsidRPr="004A4EF3">
        <w:rPr>
          <w:rFonts w:ascii="Helvetica" w:hAnsi="Helvetica" w:cs="Helvetica"/>
          <w:i/>
          <w:iCs/>
          <w:noProof/>
          <w:sz w:val="22"/>
        </w:rPr>
        <w:t>47</w:t>
      </w:r>
      <w:r w:rsidRPr="004A4EF3">
        <w:rPr>
          <w:rFonts w:ascii="Helvetica" w:hAnsi="Helvetica" w:cs="Helvetica"/>
          <w:noProof/>
          <w:sz w:val="22"/>
        </w:rPr>
        <w:t>(5), 763–770. https://doi.org/10.1016/j.neuron.2005.08.008</w:t>
      </w:r>
    </w:p>
    <w:p w14:paraId="060B647F"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Larkin, J., McDermott, J., Simon, D. P., &amp; Simon, H. A. (1980). Expert and novice performance in solving physics problems. </w:t>
      </w:r>
      <w:r w:rsidRPr="004A4EF3">
        <w:rPr>
          <w:rFonts w:ascii="Helvetica" w:hAnsi="Helvetica" w:cs="Helvetica"/>
          <w:i/>
          <w:iCs/>
          <w:noProof/>
          <w:sz w:val="22"/>
        </w:rPr>
        <w:t>Science</w:t>
      </w:r>
      <w:r w:rsidRPr="004A4EF3">
        <w:rPr>
          <w:rFonts w:ascii="Helvetica" w:hAnsi="Helvetica" w:cs="Helvetica"/>
          <w:noProof/>
          <w:sz w:val="22"/>
        </w:rPr>
        <w:t xml:space="preserve">, </w:t>
      </w:r>
      <w:r w:rsidRPr="004A4EF3">
        <w:rPr>
          <w:rFonts w:ascii="Helvetica" w:hAnsi="Helvetica" w:cs="Helvetica"/>
          <w:i/>
          <w:iCs/>
          <w:noProof/>
          <w:sz w:val="22"/>
        </w:rPr>
        <w:t>208</w:t>
      </w:r>
      <w:r w:rsidRPr="004A4EF3">
        <w:rPr>
          <w:rFonts w:ascii="Helvetica" w:hAnsi="Helvetica" w:cs="Helvetica"/>
          <w:noProof/>
          <w:sz w:val="22"/>
        </w:rPr>
        <w:t>(4450), 1335–1342.</w:t>
      </w:r>
    </w:p>
    <w:p w14:paraId="7E1B1F45"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Lejuez, C. W., Read, J. P., Kahler, C. W., Richards, J. B., Ramsey, S. E., Stuart, G. L., … Brown, R. A. (2002). Evaluation of a behavioral measure of risk taking: The Balloon Analogue Risk Task (BART). </w:t>
      </w:r>
      <w:r w:rsidRPr="004A4EF3">
        <w:rPr>
          <w:rFonts w:ascii="Helvetica" w:hAnsi="Helvetica" w:cs="Helvetica"/>
          <w:i/>
          <w:iCs/>
          <w:noProof/>
          <w:sz w:val="22"/>
        </w:rPr>
        <w:t>Journal of Experimental Psychology: Applied</w:t>
      </w:r>
      <w:r w:rsidRPr="004A4EF3">
        <w:rPr>
          <w:rFonts w:ascii="Helvetica" w:hAnsi="Helvetica" w:cs="Helvetica"/>
          <w:noProof/>
          <w:sz w:val="22"/>
        </w:rPr>
        <w:t xml:space="preserve">, </w:t>
      </w:r>
      <w:r w:rsidRPr="004A4EF3">
        <w:rPr>
          <w:rFonts w:ascii="Helvetica" w:hAnsi="Helvetica" w:cs="Helvetica"/>
          <w:i/>
          <w:iCs/>
          <w:noProof/>
          <w:sz w:val="22"/>
        </w:rPr>
        <w:t>8</w:t>
      </w:r>
      <w:r w:rsidRPr="004A4EF3">
        <w:rPr>
          <w:rFonts w:ascii="Helvetica" w:hAnsi="Helvetica" w:cs="Helvetica"/>
          <w:noProof/>
          <w:sz w:val="22"/>
        </w:rPr>
        <w:t>(2), 75–84. https://doi.org/10.1037//1076-898x.8.2.75</w:t>
      </w:r>
    </w:p>
    <w:p w14:paraId="718B90AD"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Lerner, J. S., Gonzalez, R. M., Small, D. a., &amp; Fischhoff, B. (2003). Effects of fear and anger on perceived risks of terrorism: A national field experiment. </w:t>
      </w:r>
      <w:r w:rsidRPr="004A4EF3">
        <w:rPr>
          <w:rFonts w:ascii="Helvetica" w:hAnsi="Helvetica" w:cs="Helvetica"/>
          <w:i/>
          <w:iCs/>
          <w:noProof/>
          <w:sz w:val="22"/>
        </w:rPr>
        <w:t>Psychological Science</w:t>
      </w:r>
      <w:r w:rsidRPr="004A4EF3">
        <w:rPr>
          <w:rFonts w:ascii="Helvetica" w:hAnsi="Helvetica" w:cs="Helvetica"/>
          <w:noProof/>
          <w:sz w:val="22"/>
        </w:rPr>
        <w:t xml:space="preserve">, </w:t>
      </w:r>
      <w:r w:rsidRPr="004A4EF3">
        <w:rPr>
          <w:rFonts w:ascii="Helvetica" w:hAnsi="Helvetica" w:cs="Helvetica"/>
          <w:i/>
          <w:iCs/>
          <w:noProof/>
          <w:sz w:val="22"/>
        </w:rPr>
        <w:t>14</w:t>
      </w:r>
      <w:r w:rsidRPr="004A4EF3">
        <w:rPr>
          <w:rFonts w:ascii="Helvetica" w:hAnsi="Helvetica" w:cs="Helvetica"/>
          <w:noProof/>
          <w:sz w:val="22"/>
        </w:rPr>
        <w:t>(2), 144–150. https://doi.org/10.1111/1467-9280.01433</w:t>
      </w:r>
    </w:p>
    <w:p w14:paraId="123A2B5F"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lastRenderedPageBreak/>
        <w:t xml:space="preserve">Lerner, J. S., &amp; Kelter, D. (2000). Beyond valence: toward a model of emotion- specific influences on judgement and choice. </w:t>
      </w:r>
      <w:r w:rsidRPr="004A4EF3">
        <w:rPr>
          <w:rFonts w:ascii="Helvetica" w:hAnsi="Helvetica" w:cs="Helvetica"/>
          <w:i/>
          <w:iCs/>
          <w:noProof/>
          <w:sz w:val="22"/>
        </w:rPr>
        <w:t>Cognition and Emotions</w:t>
      </w:r>
      <w:r w:rsidRPr="004A4EF3">
        <w:rPr>
          <w:rFonts w:ascii="Helvetica" w:hAnsi="Helvetica" w:cs="Helvetica"/>
          <w:noProof/>
          <w:sz w:val="22"/>
        </w:rPr>
        <w:t xml:space="preserve">, </w:t>
      </w:r>
      <w:r w:rsidRPr="004A4EF3">
        <w:rPr>
          <w:rFonts w:ascii="Helvetica" w:hAnsi="Helvetica" w:cs="Helvetica"/>
          <w:i/>
          <w:iCs/>
          <w:noProof/>
          <w:sz w:val="22"/>
        </w:rPr>
        <w:t>14</w:t>
      </w:r>
      <w:r w:rsidRPr="004A4EF3">
        <w:rPr>
          <w:rFonts w:ascii="Helvetica" w:hAnsi="Helvetica" w:cs="Helvetica"/>
          <w:noProof/>
          <w:sz w:val="22"/>
        </w:rPr>
        <w:t>(4), 473–493.</w:t>
      </w:r>
    </w:p>
    <w:p w14:paraId="5C9E8BFD"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Lerner, J. S., &amp; Keltner, D. (2001). Fear, anger, and risk. </w:t>
      </w:r>
      <w:r w:rsidRPr="004A4EF3">
        <w:rPr>
          <w:rFonts w:ascii="Helvetica" w:hAnsi="Helvetica" w:cs="Helvetica"/>
          <w:i/>
          <w:iCs/>
          <w:noProof/>
          <w:sz w:val="22"/>
        </w:rPr>
        <w:t>Journal of Personality and Social Psychology</w:t>
      </w:r>
      <w:r w:rsidRPr="004A4EF3">
        <w:rPr>
          <w:rFonts w:ascii="Helvetica" w:hAnsi="Helvetica" w:cs="Helvetica"/>
          <w:noProof/>
          <w:sz w:val="22"/>
        </w:rPr>
        <w:t xml:space="preserve">, </w:t>
      </w:r>
      <w:r w:rsidRPr="004A4EF3">
        <w:rPr>
          <w:rFonts w:ascii="Helvetica" w:hAnsi="Helvetica" w:cs="Helvetica"/>
          <w:i/>
          <w:iCs/>
          <w:noProof/>
          <w:sz w:val="22"/>
        </w:rPr>
        <w:t>81</w:t>
      </w:r>
      <w:r w:rsidRPr="004A4EF3">
        <w:rPr>
          <w:rFonts w:ascii="Helvetica" w:hAnsi="Helvetica" w:cs="Helvetica"/>
          <w:noProof/>
          <w:sz w:val="22"/>
        </w:rPr>
        <w:t>(1), 146–159. https://doi.org/10.1037/0022-3514.81.1.146</w:t>
      </w:r>
    </w:p>
    <w:p w14:paraId="496D56C1"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Loewenstein, G., Hsee, C. K., Weber, E. U., &amp; Welch, N. (2001). Risk as feelings. </w:t>
      </w:r>
      <w:r w:rsidRPr="004A4EF3">
        <w:rPr>
          <w:rFonts w:ascii="Helvetica" w:hAnsi="Helvetica" w:cs="Helvetica"/>
          <w:i/>
          <w:iCs/>
          <w:noProof/>
          <w:sz w:val="22"/>
        </w:rPr>
        <w:t>Psychological Bulletin</w:t>
      </w:r>
      <w:r w:rsidRPr="004A4EF3">
        <w:rPr>
          <w:rFonts w:ascii="Helvetica" w:hAnsi="Helvetica" w:cs="Helvetica"/>
          <w:noProof/>
          <w:sz w:val="22"/>
        </w:rPr>
        <w:t xml:space="preserve">, </w:t>
      </w:r>
      <w:r w:rsidRPr="004A4EF3">
        <w:rPr>
          <w:rFonts w:ascii="Helvetica" w:hAnsi="Helvetica" w:cs="Helvetica"/>
          <w:i/>
          <w:iCs/>
          <w:noProof/>
          <w:sz w:val="22"/>
        </w:rPr>
        <w:t>127</w:t>
      </w:r>
      <w:r w:rsidRPr="004A4EF3">
        <w:rPr>
          <w:rFonts w:ascii="Helvetica" w:hAnsi="Helvetica" w:cs="Helvetica"/>
          <w:noProof/>
          <w:sz w:val="22"/>
        </w:rPr>
        <w:t>(2), 267–286.</w:t>
      </w:r>
    </w:p>
    <w:p w14:paraId="02A60EE5"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Loewenstein, G., &amp; Lerner, J. S. (2003). The role of affect in decision making. In R. J. Davidson, K. R. Scherer, &amp; H. H. Goldsmith (Eds.), </w:t>
      </w:r>
      <w:r w:rsidRPr="004A4EF3">
        <w:rPr>
          <w:rFonts w:ascii="Helvetica" w:hAnsi="Helvetica" w:cs="Helvetica"/>
          <w:i/>
          <w:iCs/>
          <w:noProof/>
          <w:sz w:val="22"/>
        </w:rPr>
        <w:t>Handbook of affective science</w:t>
      </w:r>
      <w:r w:rsidRPr="004A4EF3">
        <w:rPr>
          <w:rFonts w:ascii="Helvetica" w:hAnsi="Helvetica" w:cs="Helvetica"/>
          <w:noProof/>
          <w:sz w:val="22"/>
        </w:rPr>
        <w:t xml:space="preserve"> (pp. 619–642). Oxford University Press.</w:t>
      </w:r>
    </w:p>
    <w:p w14:paraId="3796266F"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Loomes, G., &amp; Sugden, R. (1982). Regret Theory: An Alternative of Rational Choice Under Uncertainty. </w:t>
      </w:r>
      <w:r w:rsidRPr="004A4EF3">
        <w:rPr>
          <w:rFonts w:ascii="Helvetica" w:hAnsi="Helvetica" w:cs="Helvetica"/>
          <w:i/>
          <w:iCs/>
          <w:noProof/>
          <w:sz w:val="22"/>
        </w:rPr>
        <w:t>The Economic Journal</w:t>
      </w:r>
      <w:r w:rsidRPr="004A4EF3">
        <w:rPr>
          <w:rFonts w:ascii="Helvetica" w:hAnsi="Helvetica" w:cs="Helvetica"/>
          <w:noProof/>
          <w:sz w:val="22"/>
        </w:rPr>
        <w:t>.</w:t>
      </w:r>
    </w:p>
    <w:p w14:paraId="164D2F7E"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Maia, T. V, &amp; McClelland, J. L. (2004). A reexamination of the evidence for the somatic marker hypothesis: what participants really know in the Iowa gambling task. </w:t>
      </w:r>
      <w:r w:rsidRPr="004A4EF3">
        <w:rPr>
          <w:rFonts w:ascii="Helvetica" w:hAnsi="Helvetica" w:cs="Helvetica"/>
          <w:i/>
          <w:iCs/>
          <w:noProof/>
          <w:sz w:val="22"/>
        </w:rPr>
        <w:t>Proceedings of the National Academy of Sciences of the United States of America</w:t>
      </w:r>
      <w:r w:rsidRPr="004A4EF3">
        <w:rPr>
          <w:rFonts w:ascii="Helvetica" w:hAnsi="Helvetica" w:cs="Helvetica"/>
          <w:noProof/>
          <w:sz w:val="22"/>
        </w:rPr>
        <w:t xml:space="preserve">, </w:t>
      </w:r>
      <w:r w:rsidRPr="004A4EF3">
        <w:rPr>
          <w:rFonts w:ascii="Helvetica" w:hAnsi="Helvetica" w:cs="Helvetica"/>
          <w:i/>
          <w:iCs/>
          <w:noProof/>
          <w:sz w:val="22"/>
        </w:rPr>
        <w:t>101</w:t>
      </w:r>
      <w:r w:rsidRPr="004A4EF3">
        <w:rPr>
          <w:rFonts w:ascii="Helvetica" w:hAnsi="Helvetica" w:cs="Helvetica"/>
          <w:noProof/>
          <w:sz w:val="22"/>
        </w:rPr>
        <w:t>(45), 16075–16080. https://doi.org/10.1073/pnas.0406666101</w:t>
      </w:r>
    </w:p>
    <w:p w14:paraId="2A23C3F9"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Maner, J. K., Richey, J. A., Cromer, K., Mallott, M., Lejuez, C. W., Joiner, T. E., &amp; Schmidt, N. B. (2007). Dispositional anxiety and risk-avoidant decision-making. </w:t>
      </w:r>
      <w:r w:rsidRPr="004A4EF3">
        <w:rPr>
          <w:rFonts w:ascii="Helvetica" w:hAnsi="Helvetica" w:cs="Helvetica"/>
          <w:i/>
          <w:iCs/>
          <w:noProof/>
          <w:sz w:val="22"/>
        </w:rPr>
        <w:t xml:space="preserve">Personality and Individual </w:t>
      </w:r>
      <w:r w:rsidRPr="004A4EF3">
        <w:rPr>
          <w:rFonts w:ascii="Helvetica" w:hAnsi="Helvetica" w:cs="Helvetica"/>
          <w:i/>
          <w:iCs/>
          <w:noProof/>
          <w:sz w:val="22"/>
        </w:rPr>
        <w:lastRenderedPageBreak/>
        <w:t>Differences</w:t>
      </w:r>
      <w:r w:rsidRPr="004A4EF3">
        <w:rPr>
          <w:rFonts w:ascii="Helvetica" w:hAnsi="Helvetica" w:cs="Helvetica"/>
          <w:noProof/>
          <w:sz w:val="22"/>
        </w:rPr>
        <w:t xml:space="preserve">, </w:t>
      </w:r>
      <w:r w:rsidRPr="004A4EF3">
        <w:rPr>
          <w:rFonts w:ascii="Helvetica" w:hAnsi="Helvetica" w:cs="Helvetica"/>
          <w:i/>
          <w:iCs/>
          <w:noProof/>
          <w:sz w:val="22"/>
        </w:rPr>
        <w:t>42</w:t>
      </w:r>
      <w:r w:rsidRPr="004A4EF3">
        <w:rPr>
          <w:rFonts w:ascii="Helvetica" w:hAnsi="Helvetica" w:cs="Helvetica"/>
          <w:noProof/>
          <w:sz w:val="22"/>
        </w:rPr>
        <w:t>(4), 665–675. https://doi.org/10.1016/j.paid.2006.08.016</w:t>
      </w:r>
    </w:p>
    <w:p w14:paraId="39220112"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Perkins, W. S., &amp; Reyna, V. (1990). he effects of expertise on preference and typicality in investment decision making. </w:t>
      </w:r>
      <w:r w:rsidRPr="004A4EF3">
        <w:rPr>
          <w:rFonts w:ascii="Helvetica" w:hAnsi="Helvetica" w:cs="Helvetica"/>
          <w:i/>
          <w:iCs/>
          <w:noProof/>
          <w:sz w:val="22"/>
        </w:rPr>
        <w:t>T ACR North American Advances.</w:t>
      </w:r>
    </w:p>
    <w:p w14:paraId="688FF2AB"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Porcelli, A. J., &amp; Delgado, M. R. (2009). Acute stress modulates risk taking in financial decision making. </w:t>
      </w:r>
      <w:r w:rsidRPr="004A4EF3">
        <w:rPr>
          <w:rFonts w:ascii="Helvetica" w:hAnsi="Helvetica" w:cs="Helvetica"/>
          <w:i/>
          <w:iCs/>
          <w:noProof/>
          <w:sz w:val="22"/>
        </w:rPr>
        <w:t>Psychol Sci</w:t>
      </w:r>
      <w:r w:rsidRPr="004A4EF3">
        <w:rPr>
          <w:rFonts w:ascii="Helvetica" w:hAnsi="Helvetica" w:cs="Helvetica"/>
          <w:noProof/>
          <w:sz w:val="22"/>
        </w:rPr>
        <w:t xml:space="preserve">, </w:t>
      </w:r>
      <w:r w:rsidRPr="004A4EF3">
        <w:rPr>
          <w:rFonts w:ascii="Helvetica" w:hAnsi="Helvetica" w:cs="Helvetica"/>
          <w:i/>
          <w:iCs/>
          <w:noProof/>
          <w:sz w:val="22"/>
        </w:rPr>
        <w:t>20</w:t>
      </w:r>
      <w:r w:rsidRPr="004A4EF3">
        <w:rPr>
          <w:rFonts w:ascii="Helvetica" w:hAnsi="Helvetica" w:cs="Helvetica"/>
          <w:noProof/>
          <w:sz w:val="22"/>
        </w:rPr>
        <w:t>(3), 278–283. https://doi.org/10.1111/j.1467-9280.2009.02288.x</w:t>
      </w:r>
    </w:p>
    <w:p w14:paraId="755D6FDF"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Raghunathan, R., &amp; Pham, M. (1999). All Negative Moods Are Not Equal: Motivational Influences of Anxiety and Sadness on Decision Making. </w:t>
      </w:r>
      <w:r w:rsidRPr="004A4EF3">
        <w:rPr>
          <w:rFonts w:ascii="Helvetica" w:hAnsi="Helvetica" w:cs="Helvetica"/>
          <w:i/>
          <w:iCs/>
          <w:noProof/>
          <w:sz w:val="22"/>
        </w:rPr>
        <w:t>Organizational Behavior and Human Decision Processes</w:t>
      </w:r>
      <w:r w:rsidRPr="004A4EF3">
        <w:rPr>
          <w:rFonts w:ascii="Helvetica" w:hAnsi="Helvetica" w:cs="Helvetica"/>
          <w:noProof/>
          <w:sz w:val="22"/>
        </w:rPr>
        <w:t xml:space="preserve">, </w:t>
      </w:r>
      <w:r w:rsidRPr="004A4EF3">
        <w:rPr>
          <w:rFonts w:ascii="Helvetica" w:hAnsi="Helvetica" w:cs="Helvetica"/>
          <w:i/>
          <w:iCs/>
          <w:noProof/>
          <w:sz w:val="22"/>
        </w:rPr>
        <w:t>79</w:t>
      </w:r>
      <w:r w:rsidRPr="004A4EF3">
        <w:rPr>
          <w:rFonts w:ascii="Helvetica" w:hAnsi="Helvetica" w:cs="Helvetica"/>
          <w:noProof/>
          <w:sz w:val="22"/>
        </w:rPr>
        <w:t>(1), 56–77. https://doi.org/10.1006/obhd.1999.2838</w:t>
      </w:r>
    </w:p>
    <w:p w14:paraId="1C99B17B"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Shanteau, J. (1988). PSYCHOLOGICAL CHARACTERISTICS AND STRATEGIES OF EXPERT DECISION MAKERS. </w:t>
      </w:r>
      <w:r w:rsidRPr="004A4EF3">
        <w:rPr>
          <w:rFonts w:ascii="Helvetica" w:hAnsi="Helvetica" w:cs="Helvetica"/>
          <w:i/>
          <w:iCs/>
          <w:noProof/>
          <w:sz w:val="22"/>
        </w:rPr>
        <w:t>Acta Psychologica</w:t>
      </w:r>
      <w:r w:rsidRPr="004A4EF3">
        <w:rPr>
          <w:rFonts w:ascii="Helvetica" w:hAnsi="Helvetica" w:cs="Helvetica"/>
          <w:noProof/>
          <w:sz w:val="22"/>
        </w:rPr>
        <w:t xml:space="preserve">, </w:t>
      </w:r>
      <w:r w:rsidRPr="004A4EF3">
        <w:rPr>
          <w:rFonts w:ascii="Helvetica" w:hAnsi="Helvetica" w:cs="Helvetica"/>
          <w:i/>
          <w:iCs/>
          <w:noProof/>
          <w:sz w:val="22"/>
        </w:rPr>
        <w:t>68</w:t>
      </w:r>
      <w:r w:rsidRPr="004A4EF3">
        <w:rPr>
          <w:rFonts w:ascii="Helvetica" w:hAnsi="Helvetica" w:cs="Helvetica"/>
          <w:noProof/>
          <w:sz w:val="22"/>
        </w:rPr>
        <w:t>, 203–215.</w:t>
      </w:r>
    </w:p>
    <w:p w14:paraId="4F3A6BB6"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Shiv, B., Loewenstein, G., Bechara, A., Damasio, H., &amp; Damasio, A. R. (2005). Investment behavior and the negative side of emotion. </w:t>
      </w:r>
      <w:r w:rsidRPr="004A4EF3">
        <w:rPr>
          <w:rFonts w:ascii="Helvetica" w:hAnsi="Helvetica" w:cs="Helvetica"/>
          <w:i/>
          <w:iCs/>
          <w:noProof/>
          <w:sz w:val="22"/>
        </w:rPr>
        <w:t>Psychological Science : A Journal of the American Psychological Society / APS</w:t>
      </w:r>
      <w:r w:rsidRPr="004A4EF3">
        <w:rPr>
          <w:rFonts w:ascii="Helvetica" w:hAnsi="Helvetica" w:cs="Helvetica"/>
          <w:noProof/>
          <w:sz w:val="22"/>
        </w:rPr>
        <w:t xml:space="preserve">, </w:t>
      </w:r>
      <w:r w:rsidRPr="004A4EF3">
        <w:rPr>
          <w:rFonts w:ascii="Helvetica" w:hAnsi="Helvetica" w:cs="Helvetica"/>
          <w:i/>
          <w:iCs/>
          <w:noProof/>
          <w:sz w:val="22"/>
        </w:rPr>
        <w:t>16</w:t>
      </w:r>
      <w:r w:rsidRPr="004A4EF3">
        <w:rPr>
          <w:rFonts w:ascii="Helvetica" w:hAnsi="Helvetica" w:cs="Helvetica"/>
          <w:noProof/>
          <w:sz w:val="22"/>
        </w:rPr>
        <w:t>(6), 435–439. https://doi.org/10.1111/j.0956-7976.2005.01553.x</w:t>
      </w:r>
    </w:p>
    <w:p w14:paraId="0F430F85"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Slovic, P., Finucane, M. L., Peters, E., &amp; MacGregor, D. G. (2007). The affect heuristic. </w:t>
      </w:r>
      <w:r w:rsidRPr="004A4EF3">
        <w:rPr>
          <w:rFonts w:ascii="Helvetica" w:hAnsi="Helvetica" w:cs="Helvetica"/>
          <w:i/>
          <w:iCs/>
          <w:noProof/>
          <w:sz w:val="22"/>
        </w:rPr>
        <w:t>European Journal of Operational Research</w:t>
      </w:r>
      <w:r w:rsidRPr="004A4EF3">
        <w:rPr>
          <w:rFonts w:ascii="Helvetica" w:hAnsi="Helvetica" w:cs="Helvetica"/>
          <w:noProof/>
          <w:sz w:val="22"/>
        </w:rPr>
        <w:t xml:space="preserve">, </w:t>
      </w:r>
      <w:r w:rsidRPr="004A4EF3">
        <w:rPr>
          <w:rFonts w:ascii="Helvetica" w:hAnsi="Helvetica" w:cs="Helvetica"/>
          <w:i/>
          <w:iCs/>
          <w:noProof/>
          <w:sz w:val="22"/>
        </w:rPr>
        <w:t>177</w:t>
      </w:r>
      <w:r w:rsidRPr="004A4EF3">
        <w:rPr>
          <w:rFonts w:ascii="Helvetica" w:hAnsi="Helvetica" w:cs="Helvetica"/>
          <w:noProof/>
          <w:sz w:val="22"/>
        </w:rPr>
        <w:t xml:space="preserve">(3), </w:t>
      </w:r>
      <w:r w:rsidRPr="004A4EF3">
        <w:rPr>
          <w:rFonts w:ascii="Helvetica" w:hAnsi="Helvetica" w:cs="Helvetica"/>
          <w:noProof/>
          <w:sz w:val="22"/>
        </w:rPr>
        <w:lastRenderedPageBreak/>
        <w:t>1333–1352. https://doi.org/10.1016/j.ejor.2005.04.006</w:t>
      </w:r>
    </w:p>
    <w:p w14:paraId="1AB71219" w14:textId="77777777" w:rsidR="004A4EF3" w:rsidRPr="004A4EF3" w:rsidRDefault="004A4EF3" w:rsidP="004A4EF3">
      <w:pPr>
        <w:widowControl w:val="0"/>
        <w:autoSpaceDE w:val="0"/>
        <w:autoSpaceDN w:val="0"/>
        <w:adjustRightInd w:val="0"/>
        <w:spacing w:after="200" w:line="480" w:lineRule="auto"/>
        <w:ind w:left="480" w:hanging="480"/>
        <w:rPr>
          <w:rFonts w:ascii="Helvetica" w:hAnsi="Helvetica" w:cs="Helvetica"/>
          <w:noProof/>
          <w:sz w:val="22"/>
        </w:rPr>
      </w:pPr>
      <w:r w:rsidRPr="004A4EF3">
        <w:rPr>
          <w:rFonts w:ascii="Helvetica" w:hAnsi="Helvetica" w:cs="Helvetica"/>
          <w:noProof/>
          <w:sz w:val="22"/>
        </w:rPr>
        <w:t xml:space="preserve">Zink, C. F., Pagnoni, G., Martin-Skurski, M. E., Chappelow, J. C., &amp; Berns, G. S. (2004). Human Striatal Responses to Monetary Reward Depend On Saliency. </w:t>
      </w:r>
      <w:r w:rsidRPr="004A4EF3">
        <w:rPr>
          <w:rFonts w:ascii="Helvetica" w:hAnsi="Helvetica" w:cs="Helvetica"/>
          <w:i/>
          <w:iCs/>
          <w:noProof/>
          <w:sz w:val="22"/>
        </w:rPr>
        <w:t>Neuron</w:t>
      </w:r>
      <w:r w:rsidRPr="004A4EF3">
        <w:rPr>
          <w:rFonts w:ascii="Helvetica" w:hAnsi="Helvetica" w:cs="Helvetica"/>
          <w:noProof/>
          <w:sz w:val="22"/>
        </w:rPr>
        <w:t xml:space="preserve">, </w:t>
      </w:r>
      <w:r w:rsidRPr="004A4EF3">
        <w:rPr>
          <w:rFonts w:ascii="Helvetica" w:hAnsi="Helvetica" w:cs="Helvetica"/>
          <w:i/>
          <w:iCs/>
          <w:noProof/>
          <w:sz w:val="22"/>
        </w:rPr>
        <w:t>42</w:t>
      </w:r>
      <w:r w:rsidRPr="004A4EF3">
        <w:rPr>
          <w:rFonts w:ascii="Helvetica" w:hAnsi="Helvetica" w:cs="Helvetica"/>
          <w:noProof/>
          <w:sz w:val="22"/>
        </w:rPr>
        <w:t>(3), 509–517. https://doi.org/10.1016/S0896-6273(04)00183-7</w:t>
      </w:r>
    </w:p>
    <w:p w14:paraId="03154843" w14:textId="7C3E0612" w:rsidR="00BA2655" w:rsidRDefault="004A4EF3" w:rsidP="00C420EE">
      <w:pPr>
        <w:pStyle w:val="BodyA"/>
        <w:suppressLineNumbers/>
        <w:spacing w:after="200" w:line="480" w:lineRule="auto"/>
      </w:pPr>
      <w:r>
        <w:fldChar w:fldCharType="end"/>
      </w:r>
    </w:p>
    <w:p w14:paraId="6281E776" w14:textId="77777777" w:rsidR="00BA2655" w:rsidRDefault="00BA2655" w:rsidP="00C420EE">
      <w:pPr>
        <w:pStyle w:val="BodyA"/>
        <w:suppressLineNumbers/>
        <w:spacing w:after="200" w:line="480" w:lineRule="auto"/>
      </w:pPr>
    </w:p>
    <w:p w14:paraId="2C9991C2" w14:textId="77777777" w:rsidR="00BA2655" w:rsidRDefault="00BA2655" w:rsidP="00C420EE">
      <w:pPr>
        <w:pStyle w:val="BodyA"/>
        <w:suppressLineNumbers/>
        <w:spacing w:after="200" w:line="480" w:lineRule="auto"/>
      </w:pPr>
    </w:p>
    <w:p w14:paraId="1A797B92" w14:textId="77777777" w:rsidR="009C3504" w:rsidRPr="008375C5" w:rsidRDefault="009C3504" w:rsidP="00C420EE">
      <w:pPr>
        <w:pStyle w:val="BodyA"/>
        <w:suppressLineNumbers/>
        <w:spacing w:after="200" w:line="480" w:lineRule="auto"/>
        <w:rPr>
          <w:rFonts w:ascii="Times New Roman" w:hAnsi="Times New Roman" w:cs="Times New Roman"/>
          <w:sz w:val="24"/>
          <w:szCs w:val="24"/>
        </w:rPr>
      </w:pPr>
    </w:p>
    <w:sectPr w:rsidR="009C3504" w:rsidRPr="008375C5" w:rsidSect="00D367C1">
      <w:headerReference w:type="default" r:id="rId17"/>
      <w:footerReference w:type="default" r:id="rId18"/>
      <w:pgSz w:w="11900" w:h="16840"/>
      <w:pgMar w:top="1985" w:right="2835" w:bottom="1985" w:left="1985"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3314C" w14:textId="77777777" w:rsidR="003D1D73" w:rsidRDefault="003D1D73">
      <w:r>
        <w:separator/>
      </w:r>
    </w:p>
  </w:endnote>
  <w:endnote w:type="continuationSeparator" w:id="0">
    <w:p w14:paraId="009428C9" w14:textId="77777777" w:rsidR="003D1D73" w:rsidRDefault="003D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Cambria">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Times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73124"/>
      <w:docPartObj>
        <w:docPartGallery w:val="Page Numbers (Bottom of Page)"/>
        <w:docPartUnique/>
      </w:docPartObj>
    </w:sdtPr>
    <w:sdtEndPr>
      <w:rPr>
        <w:noProof/>
      </w:rPr>
    </w:sdtEndPr>
    <w:sdtContent>
      <w:p w14:paraId="2D1F5947" w14:textId="77777777" w:rsidR="00D93A0B" w:rsidRDefault="00D93A0B">
        <w:pPr>
          <w:pStyle w:val="Footer"/>
          <w:jc w:val="right"/>
        </w:pPr>
        <w:r>
          <w:fldChar w:fldCharType="begin"/>
        </w:r>
        <w:r>
          <w:instrText xml:space="preserve"> PAGE   \* MERGEFORMAT </w:instrText>
        </w:r>
        <w:r>
          <w:fldChar w:fldCharType="separate"/>
        </w:r>
        <w:r w:rsidR="000E4E11">
          <w:rPr>
            <w:noProof/>
          </w:rPr>
          <w:t>29</w:t>
        </w:r>
        <w:r>
          <w:rPr>
            <w:noProof/>
          </w:rPr>
          <w:fldChar w:fldCharType="end"/>
        </w:r>
      </w:p>
    </w:sdtContent>
  </w:sdt>
  <w:p w14:paraId="26B0C4C6" w14:textId="77777777" w:rsidR="00D93A0B" w:rsidRDefault="00D93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BEB0A" w14:textId="77777777" w:rsidR="003D1D73" w:rsidRDefault="003D1D73">
      <w:r>
        <w:separator/>
      </w:r>
    </w:p>
  </w:footnote>
  <w:footnote w:type="continuationSeparator" w:id="0">
    <w:p w14:paraId="46B426BB" w14:textId="77777777" w:rsidR="003D1D73" w:rsidRDefault="003D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9A30" w14:textId="77777777" w:rsidR="00D93A0B" w:rsidRDefault="27C27199">
    <w:pPr>
      <w:pStyle w:val="Header"/>
    </w:pPr>
    <w:r>
      <w:t>The SMH in Investment Choices</w:t>
    </w:r>
  </w:p>
  <w:p w14:paraId="2E94FCD4" w14:textId="77777777" w:rsidR="00D93A0B" w:rsidRDefault="00D93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02335"/>
    <w:multiLevelType w:val="hybridMultilevel"/>
    <w:tmpl w:val="2E32AF2A"/>
    <w:lvl w:ilvl="0" w:tplc="B142A414">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FB23AD"/>
    <w:multiLevelType w:val="hybridMultilevel"/>
    <w:tmpl w:val="37B20026"/>
    <w:numStyleLink w:val="Bullet"/>
  </w:abstractNum>
  <w:abstractNum w:abstractNumId="2" w15:restartNumberingAfterBreak="0">
    <w:nsid w:val="42AD2D4A"/>
    <w:multiLevelType w:val="hybridMultilevel"/>
    <w:tmpl w:val="46AE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C016C"/>
    <w:multiLevelType w:val="hybridMultilevel"/>
    <w:tmpl w:val="9A7AC270"/>
    <w:lvl w:ilvl="0" w:tplc="E46A3C88">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E0B09"/>
    <w:multiLevelType w:val="hybridMultilevel"/>
    <w:tmpl w:val="37B20026"/>
    <w:styleLink w:val="Bullet"/>
    <w:lvl w:ilvl="0" w:tplc="E8E6413A">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5693F0">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A0C1BE">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68587C">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A655C4">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7E5F3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36DCCE">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68DC9A">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AE7B2">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B9"/>
    <w:rsid w:val="0000093D"/>
    <w:rsid w:val="00006BFE"/>
    <w:rsid w:val="00006E9E"/>
    <w:rsid w:val="00011166"/>
    <w:rsid w:val="000133E6"/>
    <w:rsid w:val="0001521F"/>
    <w:rsid w:val="00017000"/>
    <w:rsid w:val="000224C1"/>
    <w:rsid w:val="00026BA4"/>
    <w:rsid w:val="0003138A"/>
    <w:rsid w:val="000316A4"/>
    <w:rsid w:val="000411DE"/>
    <w:rsid w:val="000427DA"/>
    <w:rsid w:val="00044883"/>
    <w:rsid w:val="0005631A"/>
    <w:rsid w:val="0006295E"/>
    <w:rsid w:val="000650EA"/>
    <w:rsid w:val="00066D2D"/>
    <w:rsid w:val="000778EC"/>
    <w:rsid w:val="0008167F"/>
    <w:rsid w:val="000818E7"/>
    <w:rsid w:val="0009100D"/>
    <w:rsid w:val="0009506B"/>
    <w:rsid w:val="00097814"/>
    <w:rsid w:val="000A0517"/>
    <w:rsid w:val="000A06A3"/>
    <w:rsid w:val="000B064D"/>
    <w:rsid w:val="000B547A"/>
    <w:rsid w:val="000C1594"/>
    <w:rsid w:val="000C6CB4"/>
    <w:rsid w:val="000C751A"/>
    <w:rsid w:val="000C7F2B"/>
    <w:rsid w:val="000E0C6D"/>
    <w:rsid w:val="000E177D"/>
    <w:rsid w:val="000E4E11"/>
    <w:rsid w:val="000F1D3B"/>
    <w:rsid w:val="000F31DF"/>
    <w:rsid w:val="001003E9"/>
    <w:rsid w:val="00100AB4"/>
    <w:rsid w:val="00102737"/>
    <w:rsid w:val="00106B7B"/>
    <w:rsid w:val="00107D4F"/>
    <w:rsid w:val="00116659"/>
    <w:rsid w:val="0012071B"/>
    <w:rsid w:val="0012372A"/>
    <w:rsid w:val="00133C1C"/>
    <w:rsid w:val="00133C3B"/>
    <w:rsid w:val="001347BB"/>
    <w:rsid w:val="00134DAB"/>
    <w:rsid w:val="00134E06"/>
    <w:rsid w:val="00140145"/>
    <w:rsid w:val="00144648"/>
    <w:rsid w:val="00146BAC"/>
    <w:rsid w:val="00153C7C"/>
    <w:rsid w:val="0016610B"/>
    <w:rsid w:val="00173F33"/>
    <w:rsid w:val="0017531F"/>
    <w:rsid w:val="00175B7C"/>
    <w:rsid w:val="00177174"/>
    <w:rsid w:val="001806FA"/>
    <w:rsid w:val="00190194"/>
    <w:rsid w:val="001908EC"/>
    <w:rsid w:val="001915D0"/>
    <w:rsid w:val="00191DC1"/>
    <w:rsid w:val="00196886"/>
    <w:rsid w:val="001A26D7"/>
    <w:rsid w:val="001A56B9"/>
    <w:rsid w:val="001B5602"/>
    <w:rsid w:val="001C01C4"/>
    <w:rsid w:val="001C739B"/>
    <w:rsid w:val="001D198F"/>
    <w:rsid w:val="001E0250"/>
    <w:rsid w:val="001E2F68"/>
    <w:rsid w:val="001F5A00"/>
    <w:rsid w:val="001F5DEE"/>
    <w:rsid w:val="00200012"/>
    <w:rsid w:val="00205E5F"/>
    <w:rsid w:val="00207F45"/>
    <w:rsid w:val="002232EB"/>
    <w:rsid w:val="00223C41"/>
    <w:rsid w:val="00224568"/>
    <w:rsid w:val="00230175"/>
    <w:rsid w:val="0023116F"/>
    <w:rsid w:val="00231A1B"/>
    <w:rsid w:val="00231CF6"/>
    <w:rsid w:val="002350F2"/>
    <w:rsid w:val="00235116"/>
    <w:rsid w:val="00235677"/>
    <w:rsid w:val="00237913"/>
    <w:rsid w:val="0024201F"/>
    <w:rsid w:val="00243F5E"/>
    <w:rsid w:val="00244CA9"/>
    <w:rsid w:val="00245AE2"/>
    <w:rsid w:val="00250F5D"/>
    <w:rsid w:val="0025641B"/>
    <w:rsid w:val="002602BB"/>
    <w:rsid w:val="00265166"/>
    <w:rsid w:val="0027652C"/>
    <w:rsid w:val="002768E9"/>
    <w:rsid w:val="0028797C"/>
    <w:rsid w:val="00293C89"/>
    <w:rsid w:val="00297C61"/>
    <w:rsid w:val="00297D60"/>
    <w:rsid w:val="002A0247"/>
    <w:rsid w:val="002A18BC"/>
    <w:rsid w:val="002A26BE"/>
    <w:rsid w:val="002A61EB"/>
    <w:rsid w:val="002A6DA9"/>
    <w:rsid w:val="002B02E0"/>
    <w:rsid w:val="002B0CF7"/>
    <w:rsid w:val="002B0F1C"/>
    <w:rsid w:val="002B44C8"/>
    <w:rsid w:val="002B4E1C"/>
    <w:rsid w:val="002C2DA3"/>
    <w:rsid w:val="002C5B65"/>
    <w:rsid w:val="002E452F"/>
    <w:rsid w:val="002E7943"/>
    <w:rsid w:val="002F0C01"/>
    <w:rsid w:val="002F33A0"/>
    <w:rsid w:val="002F6F93"/>
    <w:rsid w:val="003021FB"/>
    <w:rsid w:val="0030621F"/>
    <w:rsid w:val="0031110F"/>
    <w:rsid w:val="00313D0A"/>
    <w:rsid w:val="00314856"/>
    <w:rsid w:val="003159AC"/>
    <w:rsid w:val="003224BA"/>
    <w:rsid w:val="00327DAA"/>
    <w:rsid w:val="003361D0"/>
    <w:rsid w:val="0033706B"/>
    <w:rsid w:val="003401EB"/>
    <w:rsid w:val="00341F8D"/>
    <w:rsid w:val="00350392"/>
    <w:rsid w:val="003536FF"/>
    <w:rsid w:val="0036472A"/>
    <w:rsid w:val="00364E1B"/>
    <w:rsid w:val="003670D8"/>
    <w:rsid w:val="00367855"/>
    <w:rsid w:val="0037450B"/>
    <w:rsid w:val="00375727"/>
    <w:rsid w:val="003766F9"/>
    <w:rsid w:val="00381042"/>
    <w:rsid w:val="00382278"/>
    <w:rsid w:val="00382BDE"/>
    <w:rsid w:val="00383B7A"/>
    <w:rsid w:val="00391E00"/>
    <w:rsid w:val="00396571"/>
    <w:rsid w:val="003A03AB"/>
    <w:rsid w:val="003A167C"/>
    <w:rsid w:val="003B07E3"/>
    <w:rsid w:val="003B4F91"/>
    <w:rsid w:val="003B755B"/>
    <w:rsid w:val="003C0840"/>
    <w:rsid w:val="003C172E"/>
    <w:rsid w:val="003C643F"/>
    <w:rsid w:val="003D1D73"/>
    <w:rsid w:val="003D3149"/>
    <w:rsid w:val="003E02D1"/>
    <w:rsid w:val="003E2746"/>
    <w:rsid w:val="004056EC"/>
    <w:rsid w:val="00410260"/>
    <w:rsid w:val="00413899"/>
    <w:rsid w:val="004168AB"/>
    <w:rsid w:val="004205C9"/>
    <w:rsid w:val="00420DCD"/>
    <w:rsid w:val="00421167"/>
    <w:rsid w:val="004236EC"/>
    <w:rsid w:val="004300B8"/>
    <w:rsid w:val="00430291"/>
    <w:rsid w:val="00431584"/>
    <w:rsid w:val="00432050"/>
    <w:rsid w:val="0044617E"/>
    <w:rsid w:val="004467AB"/>
    <w:rsid w:val="00446ADC"/>
    <w:rsid w:val="004528D1"/>
    <w:rsid w:val="00454B5E"/>
    <w:rsid w:val="00463441"/>
    <w:rsid w:val="00471BE9"/>
    <w:rsid w:val="00482A47"/>
    <w:rsid w:val="004833A2"/>
    <w:rsid w:val="004923E0"/>
    <w:rsid w:val="00493541"/>
    <w:rsid w:val="00496856"/>
    <w:rsid w:val="004A1E30"/>
    <w:rsid w:val="004A4EF3"/>
    <w:rsid w:val="004B0217"/>
    <w:rsid w:val="004B1E45"/>
    <w:rsid w:val="004B3F23"/>
    <w:rsid w:val="004B408A"/>
    <w:rsid w:val="004C3B9E"/>
    <w:rsid w:val="004C436E"/>
    <w:rsid w:val="004D3510"/>
    <w:rsid w:val="004E47B0"/>
    <w:rsid w:val="004E6619"/>
    <w:rsid w:val="004E6AD0"/>
    <w:rsid w:val="004E6D3F"/>
    <w:rsid w:val="004E728E"/>
    <w:rsid w:val="004E794C"/>
    <w:rsid w:val="004F0621"/>
    <w:rsid w:val="004F10B2"/>
    <w:rsid w:val="004F4696"/>
    <w:rsid w:val="004F5A57"/>
    <w:rsid w:val="005125E8"/>
    <w:rsid w:val="005150A8"/>
    <w:rsid w:val="0051696B"/>
    <w:rsid w:val="005209C5"/>
    <w:rsid w:val="005223F0"/>
    <w:rsid w:val="00522E05"/>
    <w:rsid w:val="00532BD2"/>
    <w:rsid w:val="00532E0A"/>
    <w:rsid w:val="00536DC9"/>
    <w:rsid w:val="0054160D"/>
    <w:rsid w:val="00541775"/>
    <w:rsid w:val="00542837"/>
    <w:rsid w:val="005449A0"/>
    <w:rsid w:val="00547145"/>
    <w:rsid w:val="00555F93"/>
    <w:rsid w:val="00556792"/>
    <w:rsid w:val="005609E5"/>
    <w:rsid w:val="00560BBC"/>
    <w:rsid w:val="00564DA7"/>
    <w:rsid w:val="0057226C"/>
    <w:rsid w:val="00574CA5"/>
    <w:rsid w:val="00574DFE"/>
    <w:rsid w:val="00574E1B"/>
    <w:rsid w:val="00575486"/>
    <w:rsid w:val="00575970"/>
    <w:rsid w:val="005769A9"/>
    <w:rsid w:val="00577490"/>
    <w:rsid w:val="005847ED"/>
    <w:rsid w:val="0058635C"/>
    <w:rsid w:val="00590912"/>
    <w:rsid w:val="0059100C"/>
    <w:rsid w:val="00592A10"/>
    <w:rsid w:val="00596DCE"/>
    <w:rsid w:val="005A4AB7"/>
    <w:rsid w:val="005B003D"/>
    <w:rsid w:val="005B68EA"/>
    <w:rsid w:val="005C50AA"/>
    <w:rsid w:val="005D1AC6"/>
    <w:rsid w:val="005D2F7D"/>
    <w:rsid w:val="005D37D8"/>
    <w:rsid w:val="005D5C04"/>
    <w:rsid w:val="005D6671"/>
    <w:rsid w:val="005E303D"/>
    <w:rsid w:val="005F389B"/>
    <w:rsid w:val="00604CA2"/>
    <w:rsid w:val="006059E7"/>
    <w:rsid w:val="006065A2"/>
    <w:rsid w:val="00617B76"/>
    <w:rsid w:val="00623F7C"/>
    <w:rsid w:val="00627386"/>
    <w:rsid w:val="006338DE"/>
    <w:rsid w:val="00654269"/>
    <w:rsid w:val="006559A9"/>
    <w:rsid w:val="006569E7"/>
    <w:rsid w:val="00667259"/>
    <w:rsid w:val="006700B3"/>
    <w:rsid w:val="00672B94"/>
    <w:rsid w:val="00687230"/>
    <w:rsid w:val="006913DB"/>
    <w:rsid w:val="00693BD2"/>
    <w:rsid w:val="00696A47"/>
    <w:rsid w:val="006A082C"/>
    <w:rsid w:val="006A1975"/>
    <w:rsid w:val="006A22E7"/>
    <w:rsid w:val="006A375F"/>
    <w:rsid w:val="006A6801"/>
    <w:rsid w:val="006B3C84"/>
    <w:rsid w:val="006B73F9"/>
    <w:rsid w:val="006C03F5"/>
    <w:rsid w:val="006C3905"/>
    <w:rsid w:val="006D0CBC"/>
    <w:rsid w:val="006D5976"/>
    <w:rsid w:val="006D6C48"/>
    <w:rsid w:val="006D7A16"/>
    <w:rsid w:val="006E225F"/>
    <w:rsid w:val="006E443B"/>
    <w:rsid w:val="006E528B"/>
    <w:rsid w:val="006E5B05"/>
    <w:rsid w:val="006E6A9A"/>
    <w:rsid w:val="006E7C19"/>
    <w:rsid w:val="006F0F23"/>
    <w:rsid w:val="006F22A0"/>
    <w:rsid w:val="00700275"/>
    <w:rsid w:val="00703EEE"/>
    <w:rsid w:val="00704103"/>
    <w:rsid w:val="00706032"/>
    <w:rsid w:val="00712C7C"/>
    <w:rsid w:val="007172FC"/>
    <w:rsid w:val="007218FF"/>
    <w:rsid w:val="00721E32"/>
    <w:rsid w:val="007324C7"/>
    <w:rsid w:val="00734BD3"/>
    <w:rsid w:val="00737B77"/>
    <w:rsid w:val="0074051D"/>
    <w:rsid w:val="007442B1"/>
    <w:rsid w:val="0074735E"/>
    <w:rsid w:val="0075656F"/>
    <w:rsid w:val="007633BB"/>
    <w:rsid w:val="00771270"/>
    <w:rsid w:val="00771BAA"/>
    <w:rsid w:val="00780B07"/>
    <w:rsid w:val="00783F13"/>
    <w:rsid w:val="00796EAF"/>
    <w:rsid w:val="00797C3F"/>
    <w:rsid w:val="007A29C3"/>
    <w:rsid w:val="007A57F4"/>
    <w:rsid w:val="007A5929"/>
    <w:rsid w:val="007A6435"/>
    <w:rsid w:val="007B63CD"/>
    <w:rsid w:val="007C04FD"/>
    <w:rsid w:val="007C240E"/>
    <w:rsid w:val="007C6948"/>
    <w:rsid w:val="007C6E2C"/>
    <w:rsid w:val="007C7E5D"/>
    <w:rsid w:val="007D25DA"/>
    <w:rsid w:val="007D4605"/>
    <w:rsid w:val="007E213D"/>
    <w:rsid w:val="007F1ACC"/>
    <w:rsid w:val="007F4ECA"/>
    <w:rsid w:val="008005B0"/>
    <w:rsid w:val="0080360F"/>
    <w:rsid w:val="008048D3"/>
    <w:rsid w:val="00807A51"/>
    <w:rsid w:val="00807FF9"/>
    <w:rsid w:val="00813003"/>
    <w:rsid w:val="00815844"/>
    <w:rsid w:val="00817D33"/>
    <w:rsid w:val="00820697"/>
    <w:rsid w:val="00833B85"/>
    <w:rsid w:val="008375C5"/>
    <w:rsid w:val="008421E3"/>
    <w:rsid w:val="008425A7"/>
    <w:rsid w:val="00844B7E"/>
    <w:rsid w:val="008519CC"/>
    <w:rsid w:val="00851D39"/>
    <w:rsid w:val="0085496E"/>
    <w:rsid w:val="0085503A"/>
    <w:rsid w:val="00856AD5"/>
    <w:rsid w:val="00856D6A"/>
    <w:rsid w:val="00862132"/>
    <w:rsid w:val="008642C7"/>
    <w:rsid w:val="008674F7"/>
    <w:rsid w:val="0087735E"/>
    <w:rsid w:val="0087741D"/>
    <w:rsid w:val="008820D7"/>
    <w:rsid w:val="00883C0A"/>
    <w:rsid w:val="0088466F"/>
    <w:rsid w:val="00895D46"/>
    <w:rsid w:val="00897AC4"/>
    <w:rsid w:val="008A04FA"/>
    <w:rsid w:val="008A3739"/>
    <w:rsid w:val="008A41DF"/>
    <w:rsid w:val="008A436B"/>
    <w:rsid w:val="008B0AC2"/>
    <w:rsid w:val="008B2A8D"/>
    <w:rsid w:val="008B6080"/>
    <w:rsid w:val="008C6C6A"/>
    <w:rsid w:val="008D377D"/>
    <w:rsid w:val="008D4719"/>
    <w:rsid w:val="008D7EE9"/>
    <w:rsid w:val="008E3540"/>
    <w:rsid w:val="008E3684"/>
    <w:rsid w:val="008E58F8"/>
    <w:rsid w:val="008F08DD"/>
    <w:rsid w:val="008F26CC"/>
    <w:rsid w:val="008F61D2"/>
    <w:rsid w:val="008F6C45"/>
    <w:rsid w:val="008F6CFC"/>
    <w:rsid w:val="00904B45"/>
    <w:rsid w:val="00931A1E"/>
    <w:rsid w:val="0093716C"/>
    <w:rsid w:val="00940D46"/>
    <w:rsid w:val="0094629A"/>
    <w:rsid w:val="009471C1"/>
    <w:rsid w:val="00950B25"/>
    <w:rsid w:val="00955EFF"/>
    <w:rsid w:val="00962F1E"/>
    <w:rsid w:val="00963452"/>
    <w:rsid w:val="00963590"/>
    <w:rsid w:val="00976645"/>
    <w:rsid w:val="00981AFB"/>
    <w:rsid w:val="0099013C"/>
    <w:rsid w:val="00990974"/>
    <w:rsid w:val="00994093"/>
    <w:rsid w:val="0099684C"/>
    <w:rsid w:val="009A00BD"/>
    <w:rsid w:val="009A0172"/>
    <w:rsid w:val="009B419E"/>
    <w:rsid w:val="009C3504"/>
    <w:rsid w:val="009D2ADE"/>
    <w:rsid w:val="009D408B"/>
    <w:rsid w:val="009D60DE"/>
    <w:rsid w:val="009D69D8"/>
    <w:rsid w:val="009E02B8"/>
    <w:rsid w:val="009E176E"/>
    <w:rsid w:val="009E5482"/>
    <w:rsid w:val="009F0552"/>
    <w:rsid w:val="009F70EC"/>
    <w:rsid w:val="009F74A9"/>
    <w:rsid w:val="00A0482F"/>
    <w:rsid w:val="00A0570B"/>
    <w:rsid w:val="00A06471"/>
    <w:rsid w:val="00A0728B"/>
    <w:rsid w:val="00A07730"/>
    <w:rsid w:val="00A07DCD"/>
    <w:rsid w:val="00A25500"/>
    <w:rsid w:val="00A306E1"/>
    <w:rsid w:val="00A33A1A"/>
    <w:rsid w:val="00A4533B"/>
    <w:rsid w:val="00A45886"/>
    <w:rsid w:val="00A46D07"/>
    <w:rsid w:val="00A50E03"/>
    <w:rsid w:val="00A52A6A"/>
    <w:rsid w:val="00A52B21"/>
    <w:rsid w:val="00A5778C"/>
    <w:rsid w:val="00A63CE9"/>
    <w:rsid w:val="00A70C02"/>
    <w:rsid w:val="00A77BCF"/>
    <w:rsid w:val="00A811B9"/>
    <w:rsid w:val="00A82D46"/>
    <w:rsid w:val="00AB1989"/>
    <w:rsid w:val="00AB57BF"/>
    <w:rsid w:val="00AC6D05"/>
    <w:rsid w:val="00AC6E2F"/>
    <w:rsid w:val="00AD5798"/>
    <w:rsid w:val="00AD5F8D"/>
    <w:rsid w:val="00AD6F26"/>
    <w:rsid w:val="00AE6055"/>
    <w:rsid w:val="00AE6D84"/>
    <w:rsid w:val="00AE77E3"/>
    <w:rsid w:val="00AF22B3"/>
    <w:rsid w:val="00AF36EA"/>
    <w:rsid w:val="00B04D01"/>
    <w:rsid w:val="00B0505A"/>
    <w:rsid w:val="00B060BE"/>
    <w:rsid w:val="00B0646A"/>
    <w:rsid w:val="00B064EA"/>
    <w:rsid w:val="00B12875"/>
    <w:rsid w:val="00B1615C"/>
    <w:rsid w:val="00B2721A"/>
    <w:rsid w:val="00B30484"/>
    <w:rsid w:val="00B32474"/>
    <w:rsid w:val="00B353AC"/>
    <w:rsid w:val="00B376A7"/>
    <w:rsid w:val="00B41742"/>
    <w:rsid w:val="00B4221F"/>
    <w:rsid w:val="00B52A37"/>
    <w:rsid w:val="00B55C49"/>
    <w:rsid w:val="00B569B3"/>
    <w:rsid w:val="00B607EE"/>
    <w:rsid w:val="00B60B7D"/>
    <w:rsid w:val="00B613FB"/>
    <w:rsid w:val="00B614EE"/>
    <w:rsid w:val="00B62B57"/>
    <w:rsid w:val="00B65E5D"/>
    <w:rsid w:val="00B70662"/>
    <w:rsid w:val="00B706DC"/>
    <w:rsid w:val="00B7217C"/>
    <w:rsid w:val="00B81774"/>
    <w:rsid w:val="00B90655"/>
    <w:rsid w:val="00B93D89"/>
    <w:rsid w:val="00BA2655"/>
    <w:rsid w:val="00BB1A9F"/>
    <w:rsid w:val="00BB53FD"/>
    <w:rsid w:val="00BB69E9"/>
    <w:rsid w:val="00BB6B64"/>
    <w:rsid w:val="00BC44B5"/>
    <w:rsid w:val="00BC6016"/>
    <w:rsid w:val="00BC67F9"/>
    <w:rsid w:val="00BD16F7"/>
    <w:rsid w:val="00BD4179"/>
    <w:rsid w:val="00BD51F0"/>
    <w:rsid w:val="00BD5684"/>
    <w:rsid w:val="00BD66CE"/>
    <w:rsid w:val="00BE2980"/>
    <w:rsid w:val="00BE5D1A"/>
    <w:rsid w:val="00BF244D"/>
    <w:rsid w:val="00C03F32"/>
    <w:rsid w:val="00C051B1"/>
    <w:rsid w:val="00C1380B"/>
    <w:rsid w:val="00C16A0F"/>
    <w:rsid w:val="00C31036"/>
    <w:rsid w:val="00C362E8"/>
    <w:rsid w:val="00C420EE"/>
    <w:rsid w:val="00C44190"/>
    <w:rsid w:val="00C5436C"/>
    <w:rsid w:val="00C5652A"/>
    <w:rsid w:val="00C60A03"/>
    <w:rsid w:val="00C63191"/>
    <w:rsid w:val="00C63297"/>
    <w:rsid w:val="00C64570"/>
    <w:rsid w:val="00C64F24"/>
    <w:rsid w:val="00C66CDC"/>
    <w:rsid w:val="00C72356"/>
    <w:rsid w:val="00C86F01"/>
    <w:rsid w:val="00C87555"/>
    <w:rsid w:val="00C93215"/>
    <w:rsid w:val="00C9471A"/>
    <w:rsid w:val="00C961D3"/>
    <w:rsid w:val="00C977C8"/>
    <w:rsid w:val="00CA1784"/>
    <w:rsid w:val="00CB4F7E"/>
    <w:rsid w:val="00CB5443"/>
    <w:rsid w:val="00CB54B4"/>
    <w:rsid w:val="00CC16EB"/>
    <w:rsid w:val="00CC1F65"/>
    <w:rsid w:val="00CC21B8"/>
    <w:rsid w:val="00CD0D54"/>
    <w:rsid w:val="00CD6B57"/>
    <w:rsid w:val="00CD7386"/>
    <w:rsid w:val="00CF18C5"/>
    <w:rsid w:val="00CF6714"/>
    <w:rsid w:val="00CF6FDA"/>
    <w:rsid w:val="00D02B78"/>
    <w:rsid w:val="00D077D0"/>
    <w:rsid w:val="00D07F4B"/>
    <w:rsid w:val="00D12841"/>
    <w:rsid w:val="00D12B3F"/>
    <w:rsid w:val="00D17D39"/>
    <w:rsid w:val="00D231FE"/>
    <w:rsid w:val="00D24425"/>
    <w:rsid w:val="00D26EE5"/>
    <w:rsid w:val="00D3504B"/>
    <w:rsid w:val="00D367C1"/>
    <w:rsid w:val="00D423F2"/>
    <w:rsid w:val="00D43CDF"/>
    <w:rsid w:val="00D454A5"/>
    <w:rsid w:val="00D469A0"/>
    <w:rsid w:val="00D551FF"/>
    <w:rsid w:val="00D574DE"/>
    <w:rsid w:val="00D66DA3"/>
    <w:rsid w:val="00D67F4F"/>
    <w:rsid w:val="00D72DE3"/>
    <w:rsid w:val="00D76776"/>
    <w:rsid w:val="00D82559"/>
    <w:rsid w:val="00D82D9E"/>
    <w:rsid w:val="00D93A0B"/>
    <w:rsid w:val="00D95B70"/>
    <w:rsid w:val="00DA55E9"/>
    <w:rsid w:val="00DA59DB"/>
    <w:rsid w:val="00DB3715"/>
    <w:rsid w:val="00DB44A8"/>
    <w:rsid w:val="00DB488B"/>
    <w:rsid w:val="00DB58C1"/>
    <w:rsid w:val="00DB6DCD"/>
    <w:rsid w:val="00DB7BB2"/>
    <w:rsid w:val="00DC0A0C"/>
    <w:rsid w:val="00DC0E9A"/>
    <w:rsid w:val="00DC141E"/>
    <w:rsid w:val="00DC51DE"/>
    <w:rsid w:val="00DD4142"/>
    <w:rsid w:val="00DD6704"/>
    <w:rsid w:val="00DE5607"/>
    <w:rsid w:val="00DE7882"/>
    <w:rsid w:val="00DF0DF2"/>
    <w:rsid w:val="00DF4379"/>
    <w:rsid w:val="00E10935"/>
    <w:rsid w:val="00E119AB"/>
    <w:rsid w:val="00E12C8B"/>
    <w:rsid w:val="00E2057E"/>
    <w:rsid w:val="00E2092B"/>
    <w:rsid w:val="00E35127"/>
    <w:rsid w:val="00E40F3F"/>
    <w:rsid w:val="00E42907"/>
    <w:rsid w:val="00E42F2D"/>
    <w:rsid w:val="00E47108"/>
    <w:rsid w:val="00E60757"/>
    <w:rsid w:val="00E62C48"/>
    <w:rsid w:val="00E62E6F"/>
    <w:rsid w:val="00E731D8"/>
    <w:rsid w:val="00E83ABA"/>
    <w:rsid w:val="00E94C12"/>
    <w:rsid w:val="00E96135"/>
    <w:rsid w:val="00E96413"/>
    <w:rsid w:val="00E9731A"/>
    <w:rsid w:val="00EA30D3"/>
    <w:rsid w:val="00EB0171"/>
    <w:rsid w:val="00EB1CD9"/>
    <w:rsid w:val="00EB2844"/>
    <w:rsid w:val="00EB5622"/>
    <w:rsid w:val="00EB601C"/>
    <w:rsid w:val="00EB6335"/>
    <w:rsid w:val="00EB7BF9"/>
    <w:rsid w:val="00EB7E03"/>
    <w:rsid w:val="00EC2751"/>
    <w:rsid w:val="00ED2AE6"/>
    <w:rsid w:val="00EE5831"/>
    <w:rsid w:val="00EE58EB"/>
    <w:rsid w:val="00EF34D5"/>
    <w:rsid w:val="00EF7EC7"/>
    <w:rsid w:val="00F033FA"/>
    <w:rsid w:val="00F05B06"/>
    <w:rsid w:val="00F12F0D"/>
    <w:rsid w:val="00F14375"/>
    <w:rsid w:val="00F1585F"/>
    <w:rsid w:val="00F22358"/>
    <w:rsid w:val="00F23841"/>
    <w:rsid w:val="00F25D7E"/>
    <w:rsid w:val="00F26A97"/>
    <w:rsid w:val="00F2754A"/>
    <w:rsid w:val="00F3494B"/>
    <w:rsid w:val="00F35299"/>
    <w:rsid w:val="00F357BF"/>
    <w:rsid w:val="00F43760"/>
    <w:rsid w:val="00F4380A"/>
    <w:rsid w:val="00F56A5A"/>
    <w:rsid w:val="00F63833"/>
    <w:rsid w:val="00F7064A"/>
    <w:rsid w:val="00F83928"/>
    <w:rsid w:val="00F93219"/>
    <w:rsid w:val="00F94458"/>
    <w:rsid w:val="00F9514D"/>
    <w:rsid w:val="00F9685F"/>
    <w:rsid w:val="00FA3091"/>
    <w:rsid w:val="00FB0CC9"/>
    <w:rsid w:val="00FC02CD"/>
    <w:rsid w:val="00FC32A7"/>
    <w:rsid w:val="00FC3B03"/>
    <w:rsid w:val="00FD1EBC"/>
    <w:rsid w:val="00FD2D69"/>
    <w:rsid w:val="00FD7790"/>
    <w:rsid w:val="00FE1EA3"/>
    <w:rsid w:val="00FF348D"/>
    <w:rsid w:val="00FF3B7E"/>
    <w:rsid w:val="00FF519E"/>
    <w:rsid w:val="00FF5F67"/>
    <w:rsid w:val="00FF73F0"/>
    <w:rsid w:val="27C2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499D4"/>
  <w15:docId w15:val="{481259ED-42A9-4BE6-A8A2-F0D69BF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B1A9F"/>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cs="Arial Unicode MS"/>
      <w:color w:val="000000"/>
      <w:sz w:val="24"/>
      <w:szCs w:val="24"/>
      <w:u w:color="000000"/>
      <w:lang w:val="en-US"/>
    </w:rPr>
  </w:style>
  <w:style w:type="paragraph" w:customStyle="1" w:styleId="BodyA">
    <w:name w:val="Body A"/>
    <w:rPr>
      <w:rFonts w:ascii="Helvetica" w:hAnsi="Helvetica" w:cs="Arial Unicode MS"/>
      <w:color w:val="000000"/>
      <w:sz w:val="22"/>
      <w:szCs w:val="22"/>
      <w:u w:color="000000"/>
      <w:lang w:val="en-US"/>
    </w:rPr>
  </w:style>
  <w:style w:type="paragraph" w:customStyle="1" w:styleId="Default">
    <w:name w:val="Default"/>
    <w:rPr>
      <w:rFonts w:ascii="Helvetica" w:hAnsi="Helvetica" w:cs="Arial Unicode MS"/>
      <w:color w:val="000000"/>
      <w:sz w:val="22"/>
      <w:szCs w:val="22"/>
      <w:u w:color="000000"/>
      <w:lang w:val="en-US"/>
    </w:rPr>
  </w:style>
  <w:style w:type="numbering" w:customStyle="1" w:styleId="Bullet">
    <w:name w:val="Bullet"/>
    <w:pPr>
      <w:numPr>
        <w:numId w:val="1"/>
      </w:numPr>
    </w:pPr>
  </w:style>
  <w:style w:type="paragraph" w:customStyle="1" w:styleId="CaptionA">
    <w:name w:val="Caption A"/>
    <w:next w:val="BodyA"/>
    <w:pPr>
      <w:spacing w:after="200"/>
    </w:pPr>
    <w:rPr>
      <w:rFonts w:ascii="Calibri" w:eastAsia="Calibri" w:hAnsi="Calibri" w:cs="Calibri"/>
      <w:b/>
      <w:bCs/>
      <w:color w:val="000000"/>
      <w:sz w:val="18"/>
      <w:szCs w:val="18"/>
      <w:u w:color="000000"/>
      <w:lang w:val="en-US"/>
    </w:rPr>
  </w:style>
  <w:style w:type="character" w:styleId="CommentReference">
    <w:name w:val="annotation reference"/>
    <w:basedOn w:val="DefaultParagraphFont"/>
    <w:uiPriority w:val="99"/>
    <w:semiHidden/>
    <w:unhideWhenUsed/>
    <w:rsid w:val="00420DCD"/>
    <w:rPr>
      <w:sz w:val="16"/>
      <w:szCs w:val="16"/>
    </w:rPr>
  </w:style>
  <w:style w:type="paragraph" w:styleId="CommentText">
    <w:name w:val="annotation text"/>
    <w:basedOn w:val="Normal"/>
    <w:link w:val="CommentTextChar"/>
    <w:uiPriority w:val="99"/>
    <w:semiHidden/>
    <w:unhideWhenUsed/>
    <w:rsid w:val="00420DCD"/>
    <w:rPr>
      <w:sz w:val="20"/>
      <w:szCs w:val="20"/>
    </w:rPr>
  </w:style>
  <w:style w:type="character" w:customStyle="1" w:styleId="CommentTextChar">
    <w:name w:val="Comment Text Char"/>
    <w:basedOn w:val="DefaultParagraphFont"/>
    <w:link w:val="CommentText"/>
    <w:uiPriority w:val="99"/>
    <w:semiHidden/>
    <w:rsid w:val="00420DCD"/>
    <w:rPr>
      <w:lang w:val="en-US" w:eastAsia="en-US"/>
    </w:rPr>
  </w:style>
  <w:style w:type="paragraph" w:styleId="CommentSubject">
    <w:name w:val="annotation subject"/>
    <w:basedOn w:val="CommentText"/>
    <w:next w:val="CommentText"/>
    <w:link w:val="CommentSubjectChar"/>
    <w:uiPriority w:val="99"/>
    <w:semiHidden/>
    <w:unhideWhenUsed/>
    <w:rsid w:val="00420DCD"/>
    <w:rPr>
      <w:b/>
      <w:bCs/>
    </w:rPr>
  </w:style>
  <w:style w:type="character" w:customStyle="1" w:styleId="CommentSubjectChar">
    <w:name w:val="Comment Subject Char"/>
    <w:basedOn w:val="CommentTextChar"/>
    <w:link w:val="CommentSubject"/>
    <w:uiPriority w:val="99"/>
    <w:semiHidden/>
    <w:rsid w:val="00420DCD"/>
    <w:rPr>
      <w:b/>
      <w:bCs/>
      <w:lang w:val="en-US" w:eastAsia="en-US"/>
    </w:rPr>
  </w:style>
  <w:style w:type="paragraph" w:styleId="BalloonText">
    <w:name w:val="Balloon Text"/>
    <w:basedOn w:val="Normal"/>
    <w:link w:val="BalloonTextChar"/>
    <w:uiPriority w:val="99"/>
    <w:semiHidden/>
    <w:unhideWhenUsed/>
    <w:rsid w:val="00420DCD"/>
    <w:rPr>
      <w:rFonts w:ascii="Tahoma" w:hAnsi="Tahoma" w:cs="Tahoma"/>
      <w:sz w:val="16"/>
      <w:szCs w:val="16"/>
    </w:rPr>
  </w:style>
  <w:style w:type="character" w:customStyle="1" w:styleId="BalloonTextChar">
    <w:name w:val="Balloon Text Char"/>
    <w:basedOn w:val="DefaultParagraphFont"/>
    <w:link w:val="BalloonText"/>
    <w:uiPriority w:val="99"/>
    <w:semiHidden/>
    <w:rsid w:val="00420DCD"/>
    <w:rPr>
      <w:rFonts w:ascii="Tahoma" w:hAnsi="Tahoma" w:cs="Tahoma"/>
      <w:sz w:val="16"/>
      <w:szCs w:val="16"/>
      <w:lang w:val="en-US" w:eastAsia="en-US"/>
    </w:rPr>
  </w:style>
  <w:style w:type="character" w:customStyle="1" w:styleId="apple-converted-space">
    <w:name w:val="apple-converted-space"/>
    <w:basedOn w:val="DefaultParagraphFont"/>
    <w:rsid w:val="00B376A7"/>
  </w:style>
  <w:style w:type="table" w:styleId="TableGrid">
    <w:name w:val="Table Grid"/>
    <w:basedOn w:val="TableNormal"/>
    <w:uiPriority w:val="59"/>
    <w:rsid w:val="00F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DefaultParagraphFont"/>
    <w:rsid w:val="008642C7"/>
  </w:style>
  <w:style w:type="character" w:customStyle="1" w:styleId="ref-journal">
    <w:name w:val="ref-journal"/>
    <w:basedOn w:val="DefaultParagraphFont"/>
    <w:rsid w:val="008642C7"/>
  </w:style>
  <w:style w:type="character" w:customStyle="1" w:styleId="ref-vol">
    <w:name w:val="ref-vol"/>
    <w:basedOn w:val="DefaultParagraphFont"/>
    <w:rsid w:val="008642C7"/>
  </w:style>
  <w:style w:type="paragraph" w:styleId="Revision">
    <w:name w:val="Revision"/>
    <w:hidden/>
    <w:uiPriority w:val="99"/>
    <w:semiHidden/>
    <w:rsid w:val="0070410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Footer">
    <w:name w:val="footer"/>
    <w:basedOn w:val="Normal"/>
    <w:link w:val="FooterChar"/>
    <w:uiPriority w:val="99"/>
    <w:unhideWhenUsed/>
    <w:rsid w:val="00A306E1"/>
    <w:pPr>
      <w:tabs>
        <w:tab w:val="center" w:pos="4513"/>
        <w:tab w:val="right" w:pos="9026"/>
      </w:tabs>
    </w:pPr>
  </w:style>
  <w:style w:type="character" w:customStyle="1" w:styleId="FooterChar">
    <w:name w:val="Footer Char"/>
    <w:basedOn w:val="DefaultParagraphFont"/>
    <w:link w:val="Footer"/>
    <w:uiPriority w:val="99"/>
    <w:rsid w:val="00A306E1"/>
    <w:rPr>
      <w:sz w:val="24"/>
      <w:szCs w:val="24"/>
      <w:lang w:val="en-US" w:eastAsia="en-US"/>
    </w:rPr>
  </w:style>
  <w:style w:type="character" w:styleId="LineNumber">
    <w:name w:val="line number"/>
    <w:basedOn w:val="DefaultParagraphFont"/>
    <w:uiPriority w:val="99"/>
    <w:semiHidden/>
    <w:unhideWhenUsed/>
    <w:rsid w:val="00A306E1"/>
  </w:style>
  <w:style w:type="character" w:customStyle="1" w:styleId="Heading1Char">
    <w:name w:val="Heading 1 Char"/>
    <w:basedOn w:val="DefaultParagraphFont"/>
    <w:link w:val="Heading1"/>
    <w:uiPriority w:val="9"/>
    <w:rsid w:val="00BB1A9F"/>
    <w:rPr>
      <w:rFonts w:asciiTheme="majorHAnsi" w:eastAsiaTheme="majorEastAsia" w:hAnsiTheme="majorHAnsi" w:cstheme="majorBidi"/>
      <w:color w:val="2F759E" w:themeColor="accent1" w:themeShade="BF"/>
      <w:sz w:val="32"/>
      <w:szCs w:val="32"/>
      <w:lang w:val="en-US" w:eastAsia="en-US"/>
    </w:rPr>
  </w:style>
  <w:style w:type="paragraph" w:styleId="NormalWeb">
    <w:name w:val="Normal (Web)"/>
    <w:basedOn w:val="Normal"/>
    <w:uiPriority w:val="99"/>
    <w:semiHidden/>
    <w:unhideWhenUsed/>
    <w:rsid w:val="00190194"/>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character" w:customStyle="1" w:styleId="HeaderChar">
    <w:name w:val="Header Char"/>
    <w:basedOn w:val="DefaultParagraphFont"/>
    <w:link w:val="Header"/>
    <w:uiPriority w:val="99"/>
    <w:rsid w:val="00D367C1"/>
    <w:rPr>
      <w:rFonts w:cs="Arial Unicode MS"/>
      <w:color w:val="000000"/>
      <w:sz w:val="24"/>
      <w:szCs w:val="24"/>
      <w:u w:color="000000"/>
      <w:lang w:val="en-US"/>
    </w:rPr>
  </w:style>
  <w:style w:type="paragraph" w:styleId="Caption">
    <w:name w:val="caption"/>
    <w:basedOn w:val="Normal"/>
    <w:next w:val="Normal"/>
    <w:uiPriority w:val="35"/>
    <w:unhideWhenUsed/>
    <w:qFormat/>
    <w:rsid w:val="0044617E"/>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143570">
      <w:bodyDiv w:val="1"/>
      <w:marLeft w:val="0"/>
      <w:marRight w:val="0"/>
      <w:marTop w:val="0"/>
      <w:marBottom w:val="0"/>
      <w:divBdr>
        <w:top w:val="none" w:sz="0" w:space="0" w:color="auto"/>
        <w:left w:val="none" w:sz="0" w:space="0" w:color="auto"/>
        <w:bottom w:val="none" w:sz="0" w:space="0" w:color="auto"/>
        <w:right w:val="none" w:sz="0" w:space="0" w:color="auto"/>
      </w:divBdr>
      <w:divsChild>
        <w:div w:id="234049873">
          <w:marLeft w:val="0"/>
          <w:marRight w:val="0"/>
          <w:marTop w:val="0"/>
          <w:marBottom w:val="0"/>
          <w:divBdr>
            <w:top w:val="single" w:sz="6" w:space="0" w:color="D9D9D9"/>
            <w:left w:val="none" w:sz="0" w:space="0" w:color="auto"/>
            <w:bottom w:val="none" w:sz="0" w:space="0" w:color="auto"/>
            <w:right w:val="none" w:sz="0" w:space="0" w:color="auto"/>
          </w:divBdr>
          <w:divsChild>
            <w:div w:id="693655565">
              <w:marLeft w:val="0"/>
              <w:marRight w:val="0"/>
              <w:marTop w:val="0"/>
              <w:marBottom w:val="0"/>
              <w:divBdr>
                <w:top w:val="none" w:sz="0" w:space="0" w:color="auto"/>
                <w:left w:val="none" w:sz="0" w:space="0" w:color="auto"/>
                <w:bottom w:val="none" w:sz="0" w:space="0" w:color="auto"/>
                <w:right w:val="none" w:sz="0" w:space="0" w:color="auto"/>
              </w:divBdr>
              <w:divsChild>
                <w:div w:id="991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72706">
      <w:bodyDiv w:val="1"/>
      <w:marLeft w:val="0"/>
      <w:marRight w:val="0"/>
      <w:marTop w:val="0"/>
      <w:marBottom w:val="0"/>
      <w:divBdr>
        <w:top w:val="none" w:sz="0" w:space="0" w:color="auto"/>
        <w:left w:val="none" w:sz="0" w:space="0" w:color="auto"/>
        <w:bottom w:val="none" w:sz="0" w:space="0" w:color="auto"/>
        <w:right w:val="none" w:sz="0" w:space="0" w:color="auto"/>
      </w:divBdr>
    </w:div>
    <w:div w:id="1474760049">
      <w:bodyDiv w:val="1"/>
      <w:marLeft w:val="0"/>
      <w:marRight w:val="0"/>
      <w:marTop w:val="0"/>
      <w:marBottom w:val="0"/>
      <w:divBdr>
        <w:top w:val="none" w:sz="0" w:space="0" w:color="auto"/>
        <w:left w:val="none" w:sz="0" w:space="0" w:color="auto"/>
        <w:bottom w:val="none" w:sz="0" w:space="0" w:color="auto"/>
        <w:right w:val="none" w:sz="0" w:space="0" w:color="auto"/>
      </w:divBdr>
    </w:div>
    <w:div w:id="1518689188">
      <w:bodyDiv w:val="1"/>
      <w:marLeft w:val="0"/>
      <w:marRight w:val="0"/>
      <w:marTop w:val="0"/>
      <w:marBottom w:val="0"/>
      <w:divBdr>
        <w:top w:val="none" w:sz="0" w:space="0" w:color="auto"/>
        <w:left w:val="none" w:sz="0" w:space="0" w:color="auto"/>
        <w:bottom w:val="none" w:sz="0" w:space="0" w:color="auto"/>
        <w:right w:val="none" w:sz="0" w:space="0" w:color="auto"/>
      </w:divBdr>
    </w:div>
    <w:div w:id="1833058791">
      <w:bodyDiv w:val="1"/>
      <w:marLeft w:val="0"/>
      <w:marRight w:val="0"/>
      <w:marTop w:val="0"/>
      <w:marBottom w:val="0"/>
      <w:divBdr>
        <w:top w:val="none" w:sz="0" w:space="0" w:color="auto"/>
        <w:left w:val="none" w:sz="0" w:space="0" w:color="auto"/>
        <w:bottom w:val="none" w:sz="0" w:space="0" w:color="auto"/>
        <w:right w:val="none" w:sz="0" w:space="0" w:color="auto"/>
      </w:divBdr>
    </w:div>
    <w:div w:id="2015912270">
      <w:bodyDiv w:val="1"/>
      <w:marLeft w:val="0"/>
      <w:marRight w:val="0"/>
      <w:marTop w:val="0"/>
      <w:marBottom w:val="0"/>
      <w:divBdr>
        <w:top w:val="none" w:sz="0" w:space="0" w:color="auto"/>
        <w:left w:val="none" w:sz="0" w:space="0" w:color="auto"/>
        <w:bottom w:val="none" w:sz="0" w:space="0" w:color="auto"/>
        <w:right w:val="none" w:sz="0" w:space="0" w:color="auto"/>
      </w:divBdr>
    </w:div>
    <w:div w:id="2055618663">
      <w:bodyDiv w:val="1"/>
      <w:marLeft w:val="0"/>
      <w:marRight w:val="0"/>
      <w:marTop w:val="0"/>
      <w:marBottom w:val="0"/>
      <w:divBdr>
        <w:top w:val="none" w:sz="0" w:space="0" w:color="auto"/>
        <w:left w:val="none" w:sz="0" w:space="0" w:color="auto"/>
        <w:bottom w:val="none" w:sz="0" w:space="0" w:color="auto"/>
        <w:right w:val="none" w:sz="0" w:space="0" w:color="auto"/>
      </w:divBdr>
    </w:div>
    <w:div w:id="2067994830">
      <w:bodyDiv w:val="1"/>
      <w:marLeft w:val="0"/>
      <w:marRight w:val="0"/>
      <w:marTop w:val="0"/>
      <w:marBottom w:val="0"/>
      <w:divBdr>
        <w:top w:val="none" w:sz="0" w:space="0" w:color="auto"/>
        <w:left w:val="none" w:sz="0" w:space="0" w:color="auto"/>
        <w:bottom w:val="none" w:sz="0" w:space="0" w:color="auto"/>
        <w:right w:val="none" w:sz="0" w:space="0" w:color="auto"/>
      </w:divBdr>
    </w:div>
    <w:div w:id="2071297031">
      <w:bodyDiv w:val="1"/>
      <w:marLeft w:val="0"/>
      <w:marRight w:val="0"/>
      <w:marTop w:val="0"/>
      <w:marBottom w:val="0"/>
      <w:divBdr>
        <w:top w:val="none" w:sz="0" w:space="0" w:color="auto"/>
        <w:left w:val="none" w:sz="0" w:space="0" w:color="auto"/>
        <w:bottom w:val="none" w:sz="0" w:space="0" w:color="auto"/>
        <w:right w:val="none" w:sz="0" w:space="0" w:color="auto"/>
      </w:divBdr>
    </w:div>
    <w:div w:id="212495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tm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7D6D3B1D98A4DBDABF4450C7B4616" ma:contentTypeVersion="7" ma:contentTypeDescription="Create a new document." ma:contentTypeScope="" ma:versionID="daaa3608c6f5b8d679bb5ac373a00291">
  <xsd:schema xmlns:xsd="http://www.w3.org/2001/XMLSchema" xmlns:p="http://schemas.microsoft.com/office/2006/metadata/properties" xmlns:ns2="7898005d-a80a-4900-8337-69a734cae547" targetNamespace="http://schemas.microsoft.com/office/2006/metadata/properties" ma:root="true" ma:fieldsID="c5a4b8b7542ef94c2b7525e30ecc3fbd" ns2:_="">
    <xsd:import namespace="7898005d-a80a-4900-8337-69a734cae547"/>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7898005d-a80a-4900-8337-69a734cae547"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leFormat xmlns="7898005d-a80a-4900-8337-69a734cae547">DOCX</FileFormat>
    <DocumentId xmlns="7898005d-a80a-4900-8337-69a734cae547">Manuscript.DOCX</DocumentId>
    <IsDeleted xmlns="7898005d-a80a-4900-8337-69a734cae547">false</IsDeleted>
    <Checked_x0020_Out_x0020_To xmlns="7898005d-a80a-4900-8337-69a734cae547">
      <UserInfo>
        <DisplayName/>
        <AccountId xsi:nil="true"/>
        <AccountType/>
      </UserInfo>
    </Checked_x0020_Out_x0020_To>
    <DocumentType xmlns="7898005d-a80a-4900-8337-69a734cae547">Manuscript</DocumentType>
    <TitleName xmlns="7898005d-a80a-4900-8337-69a734cae547">Manuscript.DOCX</TitleName>
    <StageName xmlns="7898005d-a80a-4900-8337-69a734cae547" xsi:nil="true"/>
  </documentManagement>
</p:properties>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55088F25-0BF7-4863-8364-71D32CDE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8005d-a80a-4900-8337-69a734cae5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A955B2-0036-46CF-9165-693628B6FD0B}">
  <ds:schemaRefs>
    <ds:schemaRef ds:uri="http://schemas.microsoft.com/sharepoint/v3/contenttype/forms"/>
  </ds:schemaRefs>
</ds:datastoreItem>
</file>

<file path=customXml/itemProps3.xml><?xml version="1.0" encoding="utf-8"?>
<ds:datastoreItem xmlns:ds="http://schemas.openxmlformats.org/officeDocument/2006/customXml" ds:itemID="{10A9041D-E163-4CF1-8423-140DF3C58A56}">
  <ds:schemaRefs>
    <ds:schemaRef ds:uri="http://schemas.microsoft.com/office/2006/metadata/properties"/>
    <ds:schemaRef ds:uri="7898005d-a80a-4900-8337-69a734cae547"/>
  </ds:schemaRefs>
</ds:datastoreItem>
</file>

<file path=customXml/itemProps4.xml><?xml version="1.0" encoding="utf-8"?>
<ds:datastoreItem xmlns:ds="http://schemas.openxmlformats.org/officeDocument/2006/customXml" ds:itemID="{BA24EE9E-A139-A048-889D-95566E8B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13362</Words>
  <Characters>76167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West London Mental Health Trust</Company>
  <LinksUpToDate>false</LinksUpToDate>
  <CharactersWithSpaces>89351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Aldridge-Waddon</dc:creator>
  <cp:lastModifiedBy>Puzzo, Ignazio</cp:lastModifiedBy>
  <cp:revision>2</cp:revision>
  <cp:lastPrinted>2018-06-05T12:11:00Z</cp:lastPrinted>
  <dcterms:created xsi:type="dcterms:W3CDTF">2018-11-06T13:17:00Z</dcterms:created>
  <dcterms:modified xsi:type="dcterms:W3CDTF">2018-11-06T13:17:00Z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0x0101004DA7D6D3B1D98A4DBDABF4450C7B4616</vt:lpwstr>
  </property>
  <property fmtid="{D5CDD505-2E9C-101B-9397-08002B2CF9AE}" pid="3" name="Mendeley Document_1">
    <vt:lpwstr>True</vt:lpwstr>
  </property>
  <property fmtid="{D5CDD505-2E9C-101B-9397-08002B2CF9AE}" pid="4" name="Mendeley Unique User Id_1">
    <vt:lpwstr>9b174859-1224-3c0c-ae21-c626e50988a1</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