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E9BB" w14:textId="2578F4F9" w:rsidR="006C5CFC" w:rsidRDefault="006C5CFC" w:rsidP="00577052">
      <w:pPr>
        <w:spacing w:line="480" w:lineRule="auto"/>
        <w:contextualSpacing/>
        <w:rPr>
          <w:b/>
          <w:bCs/>
        </w:rPr>
      </w:pPr>
      <w:r w:rsidRPr="006C5CFC">
        <w:rPr>
          <w:b/>
          <w:bCs/>
        </w:rPr>
        <w:t xml:space="preserve">Prevalence and trajectories of subjective cognitive complaints and implications for </w:t>
      </w:r>
      <w:r>
        <w:rPr>
          <w:b/>
          <w:bCs/>
        </w:rPr>
        <w:t>patient outcomes</w:t>
      </w:r>
      <w:r w:rsidRPr="006C5CFC">
        <w:rPr>
          <w:b/>
          <w:bCs/>
        </w:rPr>
        <w:t>: a prospective study</w:t>
      </w:r>
      <w:r>
        <w:rPr>
          <w:b/>
          <w:bCs/>
        </w:rPr>
        <w:t xml:space="preserve"> of </w:t>
      </w:r>
      <w:r w:rsidRPr="006C5CFC">
        <w:rPr>
          <w:b/>
          <w:bCs/>
        </w:rPr>
        <w:t>haemodialysis patients</w:t>
      </w:r>
    </w:p>
    <w:p w14:paraId="6451E08C" w14:textId="77777777" w:rsidR="00396673" w:rsidRDefault="00396673" w:rsidP="00396673">
      <w:pPr>
        <w:spacing w:line="480" w:lineRule="auto"/>
        <w:contextualSpacing/>
        <w:rPr>
          <w:color w:val="000000" w:themeColor="text1"/>
          <w:lang w:val="en-GB"/>
        </w:rPr>
      </w:pPr>
    </w:p>
    <w:p w14:paraId="72F8163D" w14:textId="4C2FE430" w:rsidR="00396673" w:rsidRPr="00ED7B82" w:rsidRDefault="00396673" w:rsidP="00396673">
      <w:pPr>
        <w:spacing w:line="480" w:lineRule="auto"/>
        <w:contextualSpacing/>
        <w:rPr>
          <w:color w:val="000000" w:themeColor="text1"/>
          <w:lang w:val="en-GB"/>
        </w:rPr>
      </w:pPr>
      <w:r w:rsidRPr="00ED7B82">
        <w:rPr>
          <w:color w:val="000000" w:themeColor="text1"/>
          <w:lang w:val="en-GB"/>
        </w:rPr>
        <w:t>Frederick H. F. Chan</w:t>
      </w:r>
      <w:r w:rsidRPr="00ED7B82">
        <w:rPr>
          <w:color w:val="000000" w:themeColor="text1"/>
          <w:vertAlign w:val="superscript"/>
          <w:lang w:val="en-GB"/>
        </w:rPr>
        <w:t>1</w:t>
      </w:r>
      <w:r w:rsidRPr="00ED7B82">
        <w:rPr>
          <w:color w:val="000000" w:themeColor="text1"/>
          <w:lang w:val="en-GB"/>
        </w:rPr>
        <w:t>, Stanton Newman</w:t>
      </w:r>
      <w:r>
        <w:rPr>
          <w:color w:val="000000" w:themeColor="text1"/>
          <w:vertAlign w:val="superscript"/>
          <w:lang w:val="en-GB"/>
        </w:rPr>
        <w:t>2</w:t>
      </w:r>
      <w:r w:rsidRPr="00ED7B82">
        <w:rPr>
          <w:color w:val="000000" w:themeColor="text1"/>
          <w:lang w:val="en-GB"/>
        </w:rPr>
        <w:t xml:space="preserve">, </w:t>
      </w:r>
      <w:proofErr w:type="spellStart"/>
      <w:r w:rsidRPr="00ED7B82">
        <w:rPr>
          <w:color w:val="000000" w:themeColor="text1"/>
          <w:lang w:val="en-GB"/>
        </w:rPr>
        <w:t>Behram</w:t>
      </w:r>
      <w:proofErr w:type="spellEnd"/>
      <w:r w:rsidRPr="00ED7B82">
        <w:rPr>
          <w:color w:val="000000" w:themeColor="text1"/>
          <w:lang w:val="en-GB"/>
        </w:rPr>
        <w:t xml:space="preserve"> A. Khan</w:t>
      </w:r>
      <w:r>
        <w:rPr>
          <w:color w:val="000000" w:themeColor="text1"/>
          <w:vertAlign w:val="superscript"/>
          <w:lang w:val="en-GB"/>
        </w:rPr>
        <w:t>3,4</w:t>
      </w:r>
      <w:r w:rsidRPr="00ED7B82">
        <w:rPr>
          <w:color w:val="000000" w:themeColor="text1"/>
          <w:lang w:val="en-GB"/>
        </w:rPr>
        <w:t xml:space="preserve">, </w:t>
      </w:r>
      <w:proofErr w:type="spellStart"/>
      <w:r w:rsidRPr="00ED7B82">
        <w:rPr>
          <w:color w:val="000000" w:themeColor="text1"/>
          <w:lang w:val="en-GB"/>
        </w:rPr>
        <w:t>Konstadina</w:t>
      </w:r>
      <w:proofErr w:type="spellEnd"/>
      <w:r w:rsidRPr="00ED7B82">
        <w:rPr>
          <w:color w:val="000000" w:themeColor="text1"/>
          <w:lang w:val="en-GB"/>
        </w:rPr>
        <w:t xml:space="preserve"> Griva</w:t>
      </w:r>
      <w:r w:rsidRPr="00ED7B82">
        <w:rPr>
          <w:color w:val="000000" w:themeColor="text1"/>
          <w:vertAlign w:val="superscript"/>
          <w:lang w:val="en-GB"/>
        </w:rPr>
        <w:t>1*</w:t>
      </w:r>
    </w:p>
    <w:p w14:paraId="327A091D" w14:textId="77777777" w:rsidR="00396673" w:rsidRPr="00ED7B82" w:rsidRDefault="00396673" w:rsidP="00396673">
      <w:pPr>
        <w:spacing w:line="480" w:lineRule="auto"/>
        <w:contextualSpacing/>
        <w:rPr>
          <w:color w:val="000000" w:themeColor="text1"/>
          <w:lang w:val="en-GB"/>
        </w:rPr>
      </w:pPr>
      <w:r w:rsidRPr="00ED7B82">
        <w:rPr>
          <w:color w:val="000000" w:themeColor="text1"/>
          <w:vertAlign w:val="superscript"/>
          <w:lang w:val="en-GB"/>
        </w:rPr>
        <w:t>1</w:t>
      </w:r>
      <w:r w:rsidRPr="00ED7B82">
        <w:rPr>
          <w:color w:val="000000" w:themeColor="text1"/>
          <w:lang w:val="en-GB"/>
        </w:rPr>
        <w:t xml:space="preserve"> Population/Global Health, Lee Kong </w:t>
      </w:r>
      <w:proofErr w:type="spellStart"/>
      <w:r w:rsidRPr="00ED7B82">
        <w:rPr>
          <w:color w:val="000000" w:themeColor="text1"/>
          <w:lang w:val="en-GB"/>
        </w:rPr>
        <w:t>Chian</w:t>
      </w:r>
      <w:proofErr w:type="spellEnd"/>
      <w:r w:rsidRPr="00ED7B82">
        <w:rPr>
          <w:color w:val="000000" w:themeColor="text1"/>
          <w:lang w:val="en-GB"/>
        </w:rPr>
        <w:t xml:space="preserve"> School of Medicine, Nanyang Technological University, Singapore</w:t>
      </w:r>
    </w:p>
    <w:p w14:paraId="0EBC6731" w14:textId="77777777" w:rsidR="00396673" w:rsidRPr="00ED7B82" w:rsidRDefault="00396673" w:rsidP="00396673">
      <w:pPr>
        <w:spacing w:line="480" w:lineRule="auto"/>
        <w:contextualSpacing/>
        <w:rPr>
          <w:color w:val="000000" w:themeColor="text1"/>
          <w:lang w:val="en-GB"/>
        </w:rPr>
      </w:pPr>
      <w:r>
        <w:rPr>
          <w:color w:val="000000" w:themeColor="text1"/>
          <w:vertAlign w:val="superscript"/>
          <w:lang w:val="en-GB"/>
        </w:rPr>
        <w:t>2</w:t>
      </w:r>
      <w:r w:rsidRPr="00ED7B82">
        <w:rPr>
          <w:color w:val="000000" w:themeColor="text1"/>
          <w:lang w:val="en-GB"/>
        </w:rPr>
        <w:t xml:space="preserve"> School of Health Sciences, Division of Health Services Research and Management, City University of London, London, United Kingdom</w:t>
      </w:r>
    </w:p>
    <w:p w14:paraId="6CCF8B7B" w14:textId="77777777" w:rsidR="00396673" w:rsidRPr="00ED7B82" w:rsidRDefault="00396673" w:rsidP="00396673">
      <w:pPr>
        <w:spacing w:line="480" w:lineRule="auto"/>
        <w:contextualSpacing/>
        <w:rPr>
          <w:color w:val="000000" w:themeColor="text1"/>
          <w:lang w:val="en-GB"/>
        </w:rPr>
      </w:pPr>
      <w:r>
        <w:rPr>
          <w:color w:val="000000" w:themeColor="text1"/>
          <w:vertAlign w:val="superscript"/>
          <w:lang w:val="en-GB"/>
        </w:rPr>
        <w:t>3</w:t>
      </w:r>
      <w:r w:rsidRPr="00ED7B82">
        <w:rPr>
          <w:color w:val="000000" w:themeColor="text1"/>
          <w:lang w:val="en-GB"/>
        </w:rPr>
        <w:t xml:space="preserve"> National Kidney Foundation, Singapore</w:t>
      </w:r>
    </w:p>
    <w:p w14:paraId="7126CEDD" w14:textId="77777777" w:rsidR="00396673" w:rsidRDefault="00396673" w:rsidP="00396673">
      <w:pPr>
        <w:spacing w:line="480" w:lineRule="auto"/>
        <w:contextualSpacing/>
        <w:rPr>
          <w:lang w:val="en-GB"/>
        </w:rPr>
      </w:pPr>
      <w:r>
        <w:rPr>
          <w:vertAlign w:val="superscript"/>
          <w:lang w:val="en-GB"/>
        </w:rPr>
        <w:t>4</w:t>
      </w:r>
      <w:r w:rsidRPr="00ED7B82">
        <w:rPr>
          <w:lang w:val="en-GB"/>
        </w:rPr>
        <w:t xml:space="preserve"> Yong Loo Lin School of Medicine, National University of Singapore, Singapore </w:t>
      </w:r>
    </w:p>
    <w:p w14:paraId="78DAE4C0" w14:textId="77777777" w:rsidR="00396673" w:rsidRPr="00ED7B82" w:rsidRDefault="00396673" w:rsidP="00396673">
      <w:pPr>
        <w:spacing w:line="480" w:lineRule="auto"/>
        <w:contextualSpacing/>
        <w:rPr>
          <w:lang w:val="en-GB"/>
        </w:rPr>
      </w:pPr>
    </w:p>
    <w:p w14:paraId="00868C52" w14:textId="77777777" w:rsidR="00396673" w:rsidRDefault="00396673" w:rsidP="00396673">
      <w:pPr>
        <w:spacing w:line="480" w:lineRule="auto"/>
        <w:contextualSpacing/>
        <w:rPr>
          <w:rStyle w:val="Hyperlink"/>
          <w:color w:val="000000" w:themeColor="text1"/>
          <w:lang w:val="en-GB"/>
        </w:rPr>
      </w:pPr>
      <w:r w:rsidRPr="00ED7B82">
        <w:rPr>
          <w:color w:val="000000" w:themeColor="text1"/>
          <w:vertAlign w:val="superscript"/>
        </w:rPr>
        <w:t>*</w:t>
      </w:r>
      <w:r w:rsidRPr="00ED7B82">
        <w:rPr>
          <w:color w:val="000000" w:themeColor="text1"/>
        </w:rPr>
        <w:t xml:space="preserve"> Corresponding author: </w:t>
      </w:r>
      <w:proofErr w:type="spellStart"/>
      <w:r w:rsidRPr="00ED7B82">
        <w:rPr>
          <w:color w:val="000000" w:themeColor="text1"/>
        </w:rPr>
        <w:t>Konstadina</w:t>
      </w:r>
      <w:proofErr w:type="spellEnd"/>
      <w:r w:rsidRPr="00ED7B82">
        <w:rPr>
          <w:color w:val="000000" w:themeColor="text1"/>
        </w:rPr>
        <w:t xml:space="preserve"> </w:t>
      </w:r>
      <w:proofErr w:type="spellStart"/>
      <w:r w:rsidRPr="00ED7B82">
        <w:rPr>
          <w:color w:val="000000" w:themeColor="text1"/>
        </w:rPr>
        <w:t>Griva</w:t>
      </w:r>
      <w:proofErr w:type="spellEnd"/>
      <w:r w:rsidRPr="00ED7B82">
        <w:rPr>
          <w:color w:val="000000" w:themeColor="text1"/>
        </w:rPr>
        <w:t xml:space="preserve">, </w:t>
      </w:r>
      <w:hyperlink r:id="rId8" w:history="1">
        <w:r w:rsidRPr="00ED7B82">
          <w:rPr>
            <w:rStyle w:val="Hyperlink"/>
            <w:color w:val="000000" w:themeColor="text1"/>
            <w:lang w:val="en-GB"/>
          </w:rPr>
          <w:t>konstadina.griva@ntu.edu.sg</w:t>
        </w:r>
      </w:hyperlink>
    </w:p>
    <w:p w14:paraId="3491C4CF" w14:textId="5980719B" w:rsidR="006C5CFC" w:rsidRDefault="006C5CFC" w:rsidP="00577052">
      <w:pPr>
        <w:spacing w:line="480" w:lineRule="auto"/>
        <w:contextualSpacing/>
        <w:rPr>
          <w:lang w:val="en-GB"/>
        </w:rPr>
      </w:pPr>
    </w:p>
    <w:p w14:paraId="01CC8480" w14:textId="503BF0E3" w:rsidR="00681061" w:rsidRPr="00577052" w:rsidRDefault="00681061" w:rsidP="00681061">
      <w:pPr>
        <w:spacing w:line="480" w:lineRule="auto"/>
        <w:contextualSpacing/>
        <w:jc w:val="center"/>
        <w:rPr>
          <w:b/>
          <w:bCs/>
          <w:lang w:val="en-GB"/>
        </w:rPr>
      </w:pPr>
      <w:r>
        <w:rPr>
          <w:b/>
          <w:bCs/>
          <w:lang w:val="en-GB"/>
        </w:rPr>
        <w:t>Abstract</w:t>
      </w:r>
    </w:p>
    <w:p w14:paraId="27621F58" w14:textId="7B5BDEDC" w:rsidR="00681061" w:rsidRDefault="00684FD3" w:rsidP="00577052">
      <w:pPr>
        <w:spacing w:line="480" w:lineRule="auto"/>
        <w:contextualSpacing/>
        <w:rPr>
          <w:lang w:val="en-GB"/>
        </w:rPr>
      </w:pPr>
      <w:r w:rsidRPr="00815ABE">
        <w:rPr>
          <w:b/>
          <w:bCs/>
          <w:lang w:val="en-GB"/>
        </w:rPr>
        <w:t>Objectives</w:t>
      </w:r>
      <w:r w:rsidR="00815ABE" w:rsidRPr="00815ABE">
        <w:rPr>
          <w:b/>
          <w:bCs/>
          <w:lang w:val="en-GB"/>
        </w:rPr>
        <w:t>:</w:t>
      </w:r>
      <w:r w:rsidR="00815ABE" w:rsidRPr="00815ABE">
        <w:rPr>
          <w:color w:val="000000" w:themeColor="text1"/>
          <w:lang w:val="en-GB"/>
        </w:rPr>
        <w:t xml:space="preserve"> </w:t>
      </w:r>
      <w:r w:rsidR="00403E80">
        <w:rPr>
          <w:color w:val="000000" w:themeColor="text1"/>
          <w:lang w:val="en-GB"/>
        </w:rPr>
        <w:t>C</w:t>
      </w:r>
      <w:r w:rsidR="00815ABE" w:rsidRPr="002245BF">
        <w:rPr>
          <w:color w:val="000000" w:themeColor="text1"/>
          <w:lang w:val="en-GB"/>
        </w:rPr>
        <w:t xml:space="preserve">ognitive impairment is common in haemodialysis patients and </w:t>
      </w:r>
      <w:r w:rsidR="00250C22">
        <w:rPr>
          <w:color w:val="000000" w:themeColor="text1"/>
          <w:lang w:val="en-GB"/>
        </w:rPr>
        <w:t>is associated with increase</w:t>
      </w:r>
      <w:r w:rsidR="004223D0">
        <w:rPr>
          <w:color w:val="000000" w:themeColor="text1"/>
          <w:lang w:val="en-GB"/>
        </w:rPr>
        <w:t>d</w:t>
      </w:r>
      <w:r w:rsidR="00250C22">
        <w:rPr>
          <w:color w:val="000000" w:themeColor="text1"/>
          <w:lang w:val="en-GB"/>
        </w:rPr>
        <w:t xml:space="preserve"> hospitalisation and mortality</w:t>
      </w:r>
      <w:r w:rsidR="00815ABE" w:rsidRPr="002245BF">
        <w:rPr>
          <w:color w:val="000000" w:themeColor="text1"/>
          <w:lang w:val="en-GB"/>
        </w:rPr>
        <w:t xml:space="preserve">. </w:t>
      </w:r>
      <w:r w:rsidR="00815ABE">
        <w:rPr>
          <w:color w:val="000000" w:themeColor="text1"/>
          <w:lang w:val="en-GB"/>
        </w:rPr>
        <w:t xml:space="preserve">However, subjective cognitive complaints (SCCs), the self-experienced difficulties in everyday cognitive activities, remain poorly understood. </w:t>
      </w:r>
      <w:r w:rsidR="00815ABE" w:rsidRPr="002245BF">
        <w:rPr>
          <w:color w:val="000000" w:themeColor="text1"/>
          <w:lang w:val="en-GB"/>
        </w:rPr>
        <w:t xml:space="preserve">This study examined the prevalence and </w:t>
      </w:r>
      <w:r w:rsidR="00993625">
        <w:rPr>
          <w:color w:val="000000" w:themeColor="text1"/>
          <w:lang w:val="en-GB"/>
        </w:rPr>
        <w:t xml:space="preserve">course </w:t>
      </w:r>
      <w:r w:rsidR="00815ABE" w:rsidRPr="002245BF">
        <w:rPr>
          <w:color w:val="000000" w:themeColor="text1"/>
          <w:lang w:val="en-GB"/>
        </w:rPr>
        <w:t xml:space="preserve">of </w:t>
      </w:r>
      <w:r w:rsidR="00815ABE">
        <w:rPr>
          <w:color w:val="000000" w:themeColor="text1"/>
          <w:lang w:val="en-GB"/>
        </w:rPr>
        <w:t>SCCs</w:t>
      </w:r>
      <w:r w:rsidR="00815ABE" w:rsidRPr="002245BF">
        <w:rPr>
          <w:color w:val="000000" w:themeColor="text1"/>
          <w:lang w:val="en-GB"/>
        </w:rPr>
        <w:t xml:space="preserve"> in haemodialysis patients and </w:t>
      </w:r>
      <w:r w:rsidR="00815ABE">
        <w:rPr>
          <w:color w:val="000000" w:themeColor="text1"/>
          <w:lang w:val="en-GB"/>
        </w:rPr>
        <w:t>the longitudinal associations between SCCs and</w:t>
      </w:r>
      <w:r w:rsidR="00815ABE" w:rsidRPr="002245BF">
        <w:rPr>
          <w:color w:val="000000" w:themeColor="text1"/>
          <w:lang w:val="en-GB"/>
        </w:rPr>
        <w:t xml:space="preserve"> sociodemographi</w:t>
      </w:r>
      <w:r w:rsidR="00815ABE">
        <w:rPr>
          <w:color w:val="000000" w:themeColor="text1"/>
          <w:lang w:val="en-GB"/>
        </w:rPr>
        <w:t xml:space="preserve">c, </w:t>
      </w:r>
      <w:r w:rsidR="00815ABE" w:rsidRPr="002245BF">
        <w:rPr>
          <w:color w:val="000000" w:themeColor="text1"/>
          <w:lang w:val="en-GB"/>
        </w:rPr>
        <w:t>clinical</w:t>
      </w:r>
      <w:r w:rsidR="00815ABE">
        <w:rPr>
          <w:color w:val="000000" w:themeColor="text1"/>
          <w:lang w:val="en-GB"/>
        </w:rPr>
        <w:t xml:space="preserve">, and </w:t>
      </w:r>
      <w:r w:rsidR="00815ABE" w:rsidRPr="002245BF">
        <w:rPr>
          <w:color w:val="000000" w:themeColor="text1"/>
          <w:lang w:val="en-GB"/>
        </w:rPr>
        <w:t xml:space="preserve">patient-reported </w:t>
      </w:r>
      <w:r w:rsidR="00815ABE">
        <w:rPr>
          <w:color w:val="000000" w:themeColor="text1"/>
          <w:lang w:val="en-GB"/>
        </w:rPr>
        <w:t>variables.</w:t>
      </w:r>
    </w:p>
    <w:p w14:paraId="036DFC20" w14:textId="2E2341C7" w:rsidR="00684FD3" w:rsidRDefault="00684FD3" w:rsidP="00577052">
      <w:pPr>
        <w:spacing w:line="480" w:lineRule="auto"/>
        <w:contextualSpacing/>
        <w:rPr>
          <w:lang w:val="en-GB"/>
        </w:rPr>
      </w:pPr>
      <w:r w:rsidRPr="00815ABE">
        <w:rPr>
          <w:b/>
          <w:bCs/>
          <w:lang w:val="en-GB"/>
        </w:rPr>
        <w:t>Design</w:t>
      </w:r>
      <w:r w:rsidR="00815ABE" w:rsidRPr="00815ABE">
        <w:rPr>
          <w:b/>
          <w:bCs/>
          <w:lang w:val="en-GB"/>
        </w:rPr>
        <w:t>:</w:t>
      </w:r>
      <w:r w:rsidR="00815ABE">
        <w:rPr>
          <w:lang w:val="en-GB"/>
        </w:rPr>
        <w:t xml:space="preserve"> Observational </w:t>
      </w:r>
      <w:r w:rsidR="00A71A2A">
        <w:rPr>
          <w:lang w:val="en-GB"/>
        </w:rPr>
        <w:t xml:space="preserve">prospective </w:t>
      </w:r>
      <w:r w:rsidR="00815ABE">
        <w:rPr>
          <w:lang w:val="en-GB"/>
        </w:rPr>
        <w:t>study</w:t>
      </w:r>
      <w:r w:rsidR="00F6048E">
        <w:rPr>
          <w:lang w:val="en-GB"/>
        </w:rPr>
        <w:t xml:space="preserve"> with baseline and 12-month follow-up assessment</w:t>
      </w:r>
    </w:p>
    <w:p w14:paraId="7A108AB1" w14:textId="2DACBFE4" w:rsidR="00684FD3" w:rsidRDefault="00684FD3" w:rsidP="00577052">
      <w:pPr>
        <w:spacing w:line="480" w:lineRule="auto"/>
        <w:contextualSpacing/>
        <w:rPr>
          <w:lang w:val="en-GB"/>
        </w:rPr>
      </w:pPr>
      <w:r w:rsidRPr="00F6048E">
        <w:rPr>
          <w:b/>
          <w:bCs/>
          <w:lang w:val="en-GB"/>
        </w:rPr>
        <w:t>Methods</w:t>
      </w:r>
      <w:r w:rsidR="00F6048E" w:rsidRPr="00F6048E">
        <w:rPr>
          <w:b/>
          <w:bCs/>
          <w:lang w:val="en-GB"/>
        </w:rPr>
        <w:t>:</w:t>
      </w:r>
      <w:r w:rsidR="00F6048E">
        <w:rPr>
          <w:lang w:val="en-GB"/>
        </w:rPr>
        <w:t xml:space="preserve"> </w:t>
      </w:r>
      <w:r w:rsidR="00F6048E" w:rsidRPr="00625980">
        <w:rPr>
          <w:lang w:val="en-GB"/>
        </w:rPr>
        <w:t xml:space="preserve">Based </w:t>
      </w:r>
      <w:r w:rsidR="00F6048E">
        <w:rPr>
          <w:lang w:val="en-GB"/>
        </w:rPr>
        <w:t xml:space="preserve">on a validated cut-off </w:t>
      </w:r>
      <w:r w:rsidR="00B36560">
        <w:rPr>
          <w:lang w:val="en-GB"/>
        </w:rPr>
        <w:t xml:space="preserve">point </w:t>
      </w:r>
      <w:r w:rsidR="002F6182">
        <w:rPr>
          <w:lang w:val="en-GB"/>
        </w:rPr>
        <w:t xml:space="preserve">on </w:t>
      </w:r>
      <w:r w:rsidR="00351B91">
        <w:rPr>
          <w:lang w:val="en-GB"/>
        </w:rPr>
        <w:t xml:space="preserve">the </w:t>
      </w:r>
      <w:r w:rsidR="002F6182">
        <w:rPr>
          <w:lang w:val="en-GB"/>
        </w:rPr>
        <w:t>Kidney Disease Quality of Life Cognitive Function subscale</w:t>
      </w:r>
      <w:r w:rsidR="00F6048E">
        <w:rPr>
          <w:lang w:val="en-GB"/>
        </w:rPr>
        <w:t>, h</w:t>
      </w:r>
      <w:r w:rsidR="00F6048E" w:rsidRPr="000D4345">
        <w:rPr>
          <w:lang w:val="en-GB"/>
        </w:rPr>
        <w:t>aemodialysis patients</w:t>
      </w:r>
      <w:r w:rsidR="00F6048E">
        <w:rPr>
          <w:lang w:val="en-GB"/>
        </w:rPr>
        <w:t xml:space="preserve"> (N = 159</w:t>
      </w:r>
      <w:r w:rsidR="00993625">
        <w:rPr>
          <w:lang w:val="en-GB"/>
        </w:rPr>
        <w:t>;</w:t>
      </w:r>
      <w:r w:rsidR="007646B5">
        <w:rPr>
          <w:lang w:val="en-GB"/>
        </w:rPr>
        <w:t xml:space="preserve"> 40.3% female, mean age 53.62</w:t>
      </w:r>
      <w:r w:rsidR="00F6048E">
        <w:rPr>
          <w:lang w:val="en-GB"/>
        </w:rPr>
        <w:t xml:space="preserve">) were classified into </w:t>
      </w:r>
      <w:r w:rsidR="00993625">
        <w:rPr>
          <w:lang w:val="en-GB"/>
        </w:rPr>
        <w:t>clinical impairment trajectories</w:t>
      </w:r>
      <w:r w:rsidR="00F6048E">
        <w:rPr>
          <w:lang w:val="en-GB"/>
        </w:rPr>
        <w:t xml:space="preserve">: (1) resilient (60.4%; no/low SCCs throughout); (2) persistent (8.8%; stable high SCCs indicative of clinical impairments); (3) </w:t>
      </w:r>
      <w:r w:rsidR="00F6048E">
        <w:rPr>
          <w:lang w:val="en-GB"/>
        </w:rPr>
        <w:lastRenderedPageBreak/>
        <w:t>deterioration (17.6%; from no to probable impairments); and (4) recovery (13.2%; from probable to no impairment</w:t>
      </w:r>
      <w:r w:rsidR="00F6048E" w:rsidRPr="00DD2AD8">
        <w:rPr>
          <w:lang w:val="en-GB"/>
        </w:rPr>
        <w:t>).</w:t>
      </w:r>
      <w:r w:rsidR="00993625">
        <w:rPr>
          <w:lang w:val="en-GB"/>
        </w:rPr>
        <w:t xml:space="preserve"> </w:t>
      </w:r>
      <w:r w:rsidR="00F6048E" w:rsidRPr="00DD2AD8">
        <w:rPr>
          <w:lang w:val="en-GB"/>
        </w:rPr>
        <w:t xml:space="preserve">Sociodemographic/clinical </w:t>
      </w:r>
      <w:r w:rsidR="00F6048E">
        <w:rPr>
          <w:lang w:val="en-GB"/>
        </w:rPr>
        <w:t>variables</w:t>
      </w:r>
      <w:r w:rsidR="00F6048E" w:rsidRPr="00DD2AD8">
        <w:rPr>
          <w:lang w:val="en-GB"/>
        </w:rPr>
        <w:t>, self-efficacy, self-management skills,</w:t>
      </w:r>
      <w:r w:rsidR="00F6048E" w:rsidRPr="00323C00">
        <w:rPr>
          <w:lang w:val="en-GB"/>
        </w:rPr>
        <w:t xml:space="preserve"> </w:t>
      </w:r>
      <w:r w:rsidR="00F6048E" w:rsidRPr="00DD2AD8">
        <w:rPr>
          <w:lang w:val="en-GB"/>
        </w:rPr>
        <w:t>adherence,</w:t>
      </w:r>
      <w:r w:rsidR="00963DE5">
        <w:rPr>
          <w:lang w:val="en-GB"/>
        </w:rPr>
        <w:t xml:space="preserve"> </w:t>
      </w:r>
      <w:r w:rsidR="00F6048E" w:rsidRPr="00DD2AD8">
        <w:rPr>
          <w:lang w:val="en-GB"/>
        </w:rPr>
        <w:t>mood,</w:t>
      </w:r>
      <w:r w:rsidR="00963DE5">
        <w:rPr>
          <w:lang w:val="en-GB"/>
        </w:rPr>
        <w:t xml:space="preserve"> and biochemical assays </w:t>
      </w:r>
      <w:r w:rsidR="00F6048E" w:rsidRPr="00DD2AD8">
        <w:rPr>
          <w:lang w:val="en-GB"/>
        </w:rPr>
        <w:t>were</w:t>
      </w:r>
      <w:r w:rsidR="00993625">
        <w:rPr>
          <w:lang w:val="en-GB"/>
        </w:rPr>
        <w:t xml:space="preserve"> </w:t>
      </w:r>
      <w:r w:rsidR="007646B5">
        <w:rPr>
          <w:lang w:val="en-GB"/>
        </w:rPr>
        <w:t>measured</w:t>
      </w:r>
      <w:r w:rsidR="007646B5" w:rsidRPr="00DD2AD8">
        <w:rPr>
          <w:lang w:val="en-GB"/>
        </w:rPr>
        <w:t xml:space="preserve"> </w:t>
      </w:r>
      <w:r w:rsidR="00F6048E" w:rsidRPr="00DD2AD8">
        <w:rPr>
          <w:lang w:val="en-GB"/>
        </w:rPr>
        <w:t xml:space="preserve">at both assessments and compared among </w:t>
      </w:r>
      <w:r w:rsidR="00F6048E">
        <w:rPr>
          <w:lang w:val="en-GB"/>
        </w:rPr>
        <w:t>trajectories</w:t>
      </w:r>
      <w:r w:rsidR="00963DE5">
        <w:rPr>
          <w:lang w:val="en-GB"/>
        </w:rPr>
        <w:t xml:space="preserve"> using mixed </w:t>
      </w:r>
      <w:r w:rsidR="00362566">
        <w:rPr>
          <w:lang w:val="en-GB"/>
        </w:rPr>
        <w:t>ANOVAs</w:t>
      </w:r>
      <w:r w:rsidR="00961003">
        <w:rPr>
          <w:lang w:val="en-GB"/>
        </w:rPr>
        <w:t>.</w:t>
      </w:r>
    </w:p>
    <w:p w14:paraId="7C8804B8" w14:textId="2AA3E175" w:rsidR="00684FD3" w:rsidRDefault="00684FD3" w:rsidP="00577052">
      <w:pPr>
        <w:spacing w:line="480" w:lineRule="auto"/>
        <w:contextualSpacing/>
        <w:rPr>
          <w:lang w:val="en-GB"/>
        </w:rPr>
      </w:pPr>
      <w:r w:rsidRPr="00961003">
        <w:rPr>
          <w:b/>
          <w:bCs/>
          <w:lang w:val="en-GB"/>
        </w:rPr>
        <w:t>Results</w:t>
      </w:r>
      <w:r w:rsidR="00961003" w:rsidRPr="00961003">
        <w:rPr>
          <w:b/>
          <w:bCs/>
          <w:lang w:val="en-GB"/>
        </w:rPr>
        <w:t>:</w:t>
      </w:r>
      <w:r w:rsidR="00961003">
        <w:rPr>
          <w:lang w:val="en-GB"/>
        </w:rPr>
        <w:t xml:space="preserve"> </w:t>
      </w:r>
      <w:r w:rsidR="0066168C">
        <w:rPr>
          <w:lang w:val="en-GB"/>
        </w:rPr>
        <w:t>I</w:t>
      </w:r>
      <w:r w:rsidR="00382E29">
        <w:rPr>
          <w:lang w:val="en-GB"/>
        </w:rPr>
        <w:t>nteraction</w:t>
      </w:r>
      <w:r w:rsidR="0066168C">
        <w:rPr>
          <w:lang w:val="en-GB"/>
        </w:rPr>
        <w:t xml:space="preserve"> effect</w:t>
      </w:r>
      <w:r w:rsidR="00C12DB8">
        <w:rPr>
          <w:lang w:val="en-GB"/>
        </w:rPr>
        <w:t>s</w:t>
      </w:r>
      <w:r w:rsidR="00382E29">
        <w:rPr>
          <w:lang w:val="en-GB"/>
        </w:rPr>
        <w:t xml:space="preserve"> indicated </w:t>
      </w:r>
      <w:r w:rsidR="0066168C">
        <w:rPr>
          <w:lang w:val="en-GB"/>
        </w:rPr>
        <w:t xml:space="preserve">significant </w:t>
      </w:r>
      <w:r w:rsidR="00961003" w:rsidRPr="00DD2AD8">
        <w:rPr>
          <w:lang w:val="en-GB"/>
        </w:rPr>
        <w:t>improvements</w:t>
      </w:r>
      <w:r w:rsidR="00382E29">
        <w:rPr>
          <w:lang w:val="en-GB"/>
        </w:rPr>
        <w:t xml:space="preserve"> </w:t>
      </w:r>
      <w:r w:rsidR="0078687A">
        <w:rPr>
          <w:lang w:val="en-GB"/>
        </w:rPr>
        <w:t xml:space="preserve">in </w:t>
      </w:r>
      <w:r w:rsidR="002375B7">
        <w:rPr>
          <w:lang w:val="en-GB"/>
        </w:rPr>
        <w:t xml:space="preserve">the </w:t>
      </w:r>
      <w:r w:rsidR="0078687A">
        <w:rPr>
          <w:lang w:val="en-GB"/>
        </w:rPr>
        <w:t>recovery group</w:t>
      </w:r>
      <w:r w:rsidR="0078687A" w:rsidDel="00A33154">
        <w:rPr>
          <w:lang w:val="en-GB"/>
        </w:rPr>
        <w:t xml:space="preserve"> </w:t>
      </w:r>
      <w:r w:rsidR="0078687A">
        <w:rPr>
          <w:lang w:val="en-GB"/>
        </w:rPr>
        <w:t>in</w:t>
      </w:r>
      <w:r w:rsidR="00A33154">
        <w:rPr>
          <w:lang w:val="en-GB"/>
        </w:rPr>
        <w:t xml:space="preserve"> </w:t>
      </w:r>
      <w:r w:rsidR="00382E29">
        <w:rPr>
          <w:lang w:val="en-GB"/>
        </w:rPr>
        <w:t>clinical outcomes</w:t>
      </w:r>
      <w:r w:rsidR="00961003" w:rsidRPr="00DD2AD8">
        <w:rPr>
          <w:lang w:val="en-GB"/>
        </w:rPr>
        <w:t xml:space="preserve"> </w:t>
      </w:r>
      <w:r w:rsidR="00382E29">
        <w:rPr>
          <w:lang w:val="en-GB"/>
        </w:rPr>
        <w:t xml:space="preserve">(i.e., </w:t>
      </w:r>
      <w:r w:rsidR="00C12DB8">
        <w:rPr>
          <w:lang w:val="en-GB"/>
        </w:rPr>
        <w:t xml:space="preserve">decreased </w:t>
      </w:r>
      <w:r w:rsidR="00961003" w:rsidRPr="00DD2AD8">
        <w:rPr>
          <w:lang w:val="en-GB"/>
        </w:rPr>
        <w:t>phosphorus</w:t>
      </w:r>
      <w:r w:rsidR="007217EE">
        <w:rPr>
          <w:lang w:val="en-GB"/>
        </w:rPr>
        <w:t xml:space="preserve"> and calcium-phosphorus product</w:t>
      </w:r>
      <w:r w:rsidR="00382E29">
        <w:rPr>
          <w:lang w:val="en-GB"/>
        </w:rPr>
        <w:t>)</w:t>
      </w:r>
      <w:r w:rsidR="00961003" w:rsidRPr="00DD2AD8">
        <w:rPr>
          <w:lang w:val="en-GB"/>
        </w:rPr>
        <w:t>, self-efficacy, and mood</w:t>
      </w:r>
      <w:r w:rsidR="00961003">
        <w:rPr>
          <w:lang w:val="en-GB"/>
        </w:rPr>
        <w:t xml:space="preserve"> </w:t>
      </w:r>
      <w:r w:rsidR="00C12DB8">
        <w:rPr>
          <w:lang w:val="en-GB"/>
        </w:rPr>
        <w:t xml:space="preserve">over </w:t>
      </w:r>
      <w:r w:rsidR="00382E29">
        <w:rPr>
          <w:lang w:val="en-GB"/>
        </w:rPr>
        <w:t>time</w:t>
      </w:r>
      <w:r w:rsidR="00961003" w:rsidRPr="00DD2AD8">
        <w:rPr>
          <w:lang w:val="en-GB"/>
        </w:rPr>
        <w:t xml:space="preserve">. </w:t>
      </w:r>
      <w:r w:rsidR="0066168C">
        <w:rPr>
          <w:lang w:val="en-GB"/>
        </w:rPr>
        <w:t>G</w:t>
      </w:r>
      <w:r w:rsidR="0078687A">
        <w:rPr>
          <w:lang w:val="en-GB"/>
        </w:rPr>
        <w:t xml:space="preserve">roup effects indicated </w:t>
      </w:r>
      <w:r w:rsidR="0066168C">
        <w:rPr>
          <w:lang w:val="en-GB"/>
        </w:rPr>
        <w:t xml:space="preserve">significantly </w:t>
      </w:r>
      <w:r w:rsidR="00C12DB8">
        <w:rPr>
          <w:lang w:val="en-GB"/>
        </w:rPr>
        <w:t>poorer</w:t>
      </w:r>
      <w:r w:rsidR="00C12DB8" w:rsidRPr="00DD2AD8">
        <w:rPr>
          <w:lang w:val="en-GB"/>
        </w:rPr>
        <w:t xml:space="preserve"> </w:t>
      </w:r>
      <w:r w:rsidR="0078687A" w:rsidRPr="00DD2AD8">
        <w:rPr>
          <w:lang w:val="en-GB"/>
        </w:rPr>
        <w:t>self-efficacy</w:t>
      </w:r>
      <w:r w:rsidR="0078687A">
        <w:rPr>
          <w:lang w:val="en-GB"/>
        </w:rPr>
        <w:t xml:space="preserve">, </w:t>
      </w:r>
      <w:r w:rsidR="0078687A" w:rsidRPr="00DD2AD8">
        <w:rPr>
          <w:lang w:val="en-GB"/>
        </w:rPr>
        <w:t>self-management skills</w:t>
      </w:r>
      <w:r w:rsidR="0078687A">
        <w:rPr>
          <w:lang w:val="en-GB"/>
        </w:rPr>
        <w:t xml:space="preserve">, and </w:t>
      </w:r>
      <w:r w:rsidR="0078687A" w:rsidRPr="00DD2AD8">
        <w:rPr>
          <w:lang w:val="en-GB"/>
        </w:rPr>
        <w:t>adherence</w:t>
      </w:r>
      <w:r w:rsidR="0078687A">
        <w:rPr>
          <w:lang w:val="en-GB"/>
        </w:rPr>
        <w:t xml:space="preserve"> in </w:t>
      </w:r>
      <w:r w:rsidR="00961003">
        <w:rPr>
          <w:lang w:val="en-GB"/>
        </w:rPr>
        <w:t>t</w:t>
      </w:r>
      <w:r w:rsidR="00961003" w:rsidRPr="00DD2AD8">
        <w:rPr>
          <w:lang w:val="en-GB"/>
        </w:rPr>
        <w:t>he persistent group than other trajecto</w:t>
      </w:r>
      <w:r w:rsidR="00961003">
        <w:rPr>
          <w:lang w:val="en-GB"/>
        </w:rPr>
        <w:t xml:space="preserve">ries </w:t>
      </w:r>
      <w:r w:rsidR="00A74B1E">
        <w:rPr>
          <w:lang w:val="en-GB"/>
        </w:rPr>
        <w:t xml:space="preserve">across both </w:t>
      </w:r>
      <w:r w:rsidR="002375B7">
        <w:rPr>
          <w:lang w:val="en-GB"/>
        </w:rPr>
        <w:t>assessments</w:t>
      </w:r>
      <w:r w:rsidR="00B36900">
        <w:rPr>
          <w:lang w:val="en-GB"/>
        </w:rPr>
        <w:t>.</w:t>
      </w:r>
      <w:r w:rsidR="00DD11BE">
        <w:rPr>
          <w:lang w:val="en-GB"/>
        </w:rPr>
        <w:t xml:space="preserve"> </w:t>
      </w:r>
      <w:r w:rsidR="00A74B1E">
        <w:rPr>
          <w:lang w:val="en-GB"/>
        </w:rPr>
        <w:t>None of the s</w:t>
      </w:r>
      <w:r w:rsidR="00382E29">
        <w:rPr>
          <w:lang w:val="en-GB"/>
        </w:rPr>
        <w:t>ociodemographic</w:t>
      </w:r>
      <w:r w:rsidR="00891618">
        <w:rPr>
          <w:lang w:val="en-GB"/>
        </w:rPr>
        <w:t>/</w:t>
      </w:r>
      <w:r w:rsidR="00A74B1E">
        <w:rPr>
          <w:lang w:val="en-GB"/>
        </w:rPr>
        <w:t xml:space="preserve">clinical </w:t>
      </w:r>
      <w:r w:rsidR="00891618">
        <w:rPr>
          <w:lang w:val="en-GB"/>
        </w:rPr>
        <w:t xml:space="preserve">characteristics was </w:t>
      </w:r>
      <w:r w:rsidR="00A74B1E">
        <w:rPr>
          <w:lang w:val="en-GB"/>
        </w:rPr>
        <w:t xml:space="preserve">associated with </w:t>
      </w:r>
      <w:r w:rsidR="0078687A">
        <w:rPr>
          <w:lang w:val="en-GB"/>
        </w:rPr>
        <w:t>SCC</w:t>
      </w:r>
      <w:r w:rsidR="00A74B1E">
        <w:rPr>
          <w:lang w:val="en-GB"/>
        </w:rPr>
        <w:t xml:space="preserve"> trajectories.</w:t>
      </w:r>
    </w:p>
    <w:p w14:paraId="554FB0B6" w14:textId="64D34709" w:rsidR="00681061" w:rsidRDefault="00684FD3" w:rsidP="00577052">
      <w:pPr>
        <w:spacing w:line="480" w:lineRule="auto"/>
        <w:contextualSpacing/>
        <w:rPr>
          <w:lang w:val="en-GB"/>
        </w:rPr>
      </w:pPr>
      <w:r w:rsidRPr="00B36900">
        <w:rPr>
          <w:b/>
          <w:bCs/>
          <w:lang w:val="en-GB"/>
        </w:rPr>
        <w:t>Conclusions</w:t>
      </w:r>
      <w:r w:rsidR="00B36900" w:rsidRPr="00B36900">
        <w:rPr>
          <w:b/>
          <w:bCs/>
          <w:lang w:val="en-GB"/>
        </w:rPr>
        <w:t>:</w:t>
      </w:r>
      <w:r w:rsidR="00436E35">
        <w:rPr>
          <w:lang w:val="en-GB"/>
        </w:rPr>
        <w:t xml:space="preserve"> Clinically significant </w:t>
      </w:r>
      <w:r w:rsidR="00AF1CB7">
        <w:rPr>
          <w:lang w:val="en-GB"/>
        </w:rPr>
        <w:t>SCCs</w:t>
      </w:r>
      <w:r w:rsidR="00436E35">
        <w:rPr>
          <w:lang w:val="en-GB"/>
        </w:rPr>
        <w:t xml:space="preserve"> </w:t>
      </w:r>
      <w:r w:rsidR="00AF1CB7">
        <w:rPr>
          <w:lang w:val="en-GB"/>
        </w:rPr>
        <w:t>vary</w:t>
      </w:r>
      <w:r w:rsidR="00B93D63">
        <w:rPr>
          <w:lang w:val="en-GB"/>
        </w:rPr>
        <w:t xml:space="preserve"> over time across </w:t>
      </w:r>
      <w:r w:rsidR="00183B26">
        <w:rPr>
          <w:lang w:val="en-GB"/>
        </w:rPr>
        <w:t>h</w:t>
      </w:r>
      <w:r w:rsidR="00183B26" w:rsidRPr="000D4345">
        <w:rPr>
          <w:lang w:val="en-GB"/>
        </w:rPr>
        <w:t xml:space="preserve">aemodialysis </w:t>
      </w:r>
      <w:r w:rsidR="00B93D63">
        <w:rPr>
          <w:lang w:val="en-GB"/>
        </w:rPr>
        <w:t>patients</w:t>
      </w:r>
      <w:r w:rsidR="00AF1CB7">
        <w:rPr>
          <w:lang w:val="en-GB"/>
        </w:rPr>
        <w:t>.</w:t>
      </w:r>
      <w:r w:rsidR="00AF1CB7" w:rsidRPr="00AF1CB7">
        <w:rPr>
          <w:lang w:val="en-GB"/>
        </w:rPr>
        <w:t xml:space="preserve"> </w:t>
      </w:r>
      <w:r w:rsidR="00AF1CB7" w:rsidRPr="00DD2AD8">
        <w:rPr>
          <w:lang w:val="en-GB"/>
        </w:rPr>
        <w:t xml:space="preserve">Routine </w:t>
      </w:r>
      <w:r w:rsidR="00AF1CB7">
        <w:rPr>
          <w:lang w:val="en-GB"/>
        </w:rPr>
        <w:t>screening</w:t>
      </w:r>
      <w:r w:rsidR="00AF1CB7" w:rsidRPr="00DD2AD8">
        <w:rPr>
          <w:lang w:val="en-GB"/>
        </w:rPr>
        <w:t xml:space="preserve"> of SCCs in dialysis settings may </w:t>
      </w:r>
      <w:r w:rsidR="00AF1CB7">
        <w:rPr>
          <w:lang w:val="en-GB"/>
        </w:rPr>
        <w:t xml:space="preserve">help identifying patients </w:t>
      </w:r>
      <w:r w:rsidR="009D58FE">
        <w:rPr>
          <w:lang w:val="en-GB"/>
        </w:rPr>
        <w:t xml:space="preserve">at risk of </w:t>
      </w:r>
      <w:r w:rsidR="00891618">
        <w:rPr>
          <w:lang w:val="en-GB"/>
        </w:rPr>
        <w:t>poor self-management and worse</w:t>
      </w:r>
      <w:r w:rsidR="00653177">
        <w:rPr>
          <w:lang w:val="en-GB"/>
        </w:rPr>
        <w:t xml:space="preserve"> </w:t>
      </w:r>
      <w:r w:rsidR="00AF1CB7">
        <w:rPr>
          <w:lang w:val="en-GB"/>
        </w:rPr>
        <w:t xml:space="preserve">prognosis. Strategies that compensate for cognitive lapses may </w:t>
      </w:r>
      <w:r w:rsidR="00236BF5">
        <w:rPr>
          <w:lang w:val="en-GB"/>
        </w:rPr>
        <w:t>mitigate</w:t>
      </w:r>
      <w:r w:rsidR="00AF1CB7">
        <w:rPr>
          <w:lang w:val="en-GB"/>
        </w:rPr>
        <w:t xml:space="preserve"> the </w:t>
      </w:r>
      <w:r w:rsidR="009B7F3F">
        <w:rPr>
          <w:lang w:val="en-GB"/>
        </w:rPr>
        <w:t xml:space="preserve">perceived </w:t>
      </w:r>
      <w:r w:rsidR="00AF1CB7">
        <w:rPr>
          <w:lang w:val="en-GB"/>
        </w:rPr>
        <w:t>cognitive burden of this population</w:t>
      </w:r>
      <w:r w:rsidR="003920BD">
        <w:rPr>
          <w:lang w:val="en-GB"/>
        </w:rPr>
        <w:t>.</w:t>
      </w:r>
    </w:p>
    <w:p w14:paraId="29B7C69B" w14:textId="77777777" w:rsidR="00AF1CB7" w:rsidRDefault="00AF1CB7" w:rsidP="00577052">
      <w:pPr>
        <w:spacing w:line="480" w:lineRule="auto"/>
        <w:contextualSpacing/>
        <w:rPr>
          <w:lang w:val="en-GB"/>
        </w:rPr>
      </w:pPr>
    </w:p>
    <w:p w14:paraId="3CE0B76E" w14:textId="77777777" w:rsidR="00A93A4A" w:rsidRDefault="00C05F2A" w:rsidP="00577052">
      <w:pPr>
        <w:spacing w:line="480" w:lineRule="auto"/>
        <w:contextualSpacing/>
        <w:rPr>
          <w:lang w:val="en-GB"/>
        </w:rPr>
      </w:pPr>
      <w:r w:rsidRPr="004A30EC">
        <w:rPr>
          <w:i/>
          <w:iCs/>
          <w:lang w:val="en-GB"/>
        </w:rPr>
        <w:t>K</w:t>
      </w:r>
      <w:r w:rsidR="00684FD3" w:rsidRPr="004A30EC">
        <w:rPr>
          <w:i/>
          <w:iCs/>
          <w:lang w:val="en-GB"/>
        </w:rPr>
        <w:t>eywords</w:t>
      </w:r>
      <w:r w:rsidRPr="004A30EC">
        <w:rPr>
          <w:i/>
          <w:iCs/>
          <w:lang w:val="en-GB"/>
        </w:rPr>
        <w:t>:</w:t>
      </w:r>
      <w:r>
        <w:rPr>
          <w:lang w:val="en-GB"/>
        </w:rPr>
        <w:t xml:space="preserve"> </w:t>
      </w:r>
      <w:r w:rsidR="0023749A">
        <w:rPr>
          <w:lang w:val="en-GB"/>
        </w:rPr>
        <w:t>s</w:t>
      </w:r>
      <w:r>
        <w:rPr>
          <w:lang w:val="en-GB"/>
        </w:rPr>
        <w:t>ubjective cognitive complaint</w:t>
      </w:r>
      <w:r w:rsidR="0023749A">
        <w:rPr>
          <w:lang w:val="en-GB"/>
        </w:rPr>
        <w:t>; cognitive impairment; haemodialysis; self-management; adherence; self-efficacy</w:t>
      </w:r>
    </w:p>
    <w:p w14:paraId="0D3E0BAA" w14:textId="77777777" w:rsidR="00A93A4A" w:rsidRDefault="00A93A4A" w:rsidP="00577052">
      <w:pPr>
        <w:spacing w:line="480" w:lineRule="auto"/>
        <w:contextualSpacing/>
        <w:rPr>
          <w:lang w:val="en-GB"/>
        </w:rPr>
      </w:pPr>
    </w:p>
    <w:p w14:paraId="5C6B0214" w14:textId="13E9D932" w:rsidR="00A93A4A" w:rsidRDefault="00A93A4A" w:rsidP="00577052">
      <w:pPr>
        <w:spacing w:line="480" w:lineRule="auto"/>
        <w:contextualSpacing/>
        <w:rPr>
          <w:lang w:val="en-GB"/>
        </w:rPr>
        <w:sectPr w:rsidR="00A93A4A" w:rsidSect="00A344FD">
          <w:pgSz w:w="11900" w:h="16840"/>
          <w:pgMar w:top="1440" w:right="1440" w:bottom="1440" w:left="1440" w:header="708" w:footer="708" w:gutter="0"/>
          <w:cols w:space="708"/>
          <w:docGrid w:linePitch="360"/>
        </w:sectPr>
      </w:pPr>
    </w:p>
    <w:p w14:paraId="3A319E5E" w14:textId="3DB6DAD6" w:rsidR="00284EC9" w:rsidRPr="00577052" w:rsidRDefault="008F0066" w:rsidP="00577052">
      <w:pPr>
        <w:spacing w:line="480" w:lineRule="auto"/>
        <w:contextualSpacing/>
        <w:jc w:val="center"/>
        <w:rPr>
          <w:b/>
          <w:bCs/>
          <w:lang w:val="en-GB"/>
        </w:rPr>
      </w:pPr>
      <w:r w:rsidRPr="00577052">
        <w:rPr>
          <w:b/>
          <w:bCs/>
          <w:lang w:val="en-GB"/>
        </w:rPr>
        <w:lastRenderedPageBreak/>
        <w:t>Introduction</w:t>
      </w:r>
    </w:p>
    <w:p w14:paraId="1C9561C1" w14:textId="508114CE" w:rsidR="00284EC9" w:rsidRPr="00577052" w:rsidRDefault="00284EC9" w:rsidP="00577052">
      <w:pPr>
        <w:pStyle w:val="CommentText"/>
        <w:spacing w:line="480" w:lineRule="auto"/>
        <w:contextualSpacing/>
        <w:rPr>
          <w:rFonts w:ascii="Times New Roman" w:hAnsi="Times New Roman" w:cs="Times New Roman"/>
          <w:sz w:val="24"/>
          <w:szCs w:val="24"/>
        </w:rPr>
      </w:pPr>
      <w:r w:rsidRPr="00577052">
        <w:rPr>
          <w:rFonts w:ascii="Times New Roman" w:eastAsia="SimSun" w:hAnsi="Times New Roman" w:cs="Times New Roman"/>
          <w:sz w:val="24"/>
          <w:szCs w:val="24"/>
          <w:lang w:val="en-GB" w:eastAsia="en-US"/>
        </w:rPr>
        <w:t xml:space="preserve">End-stage renal disease (ESRD) is the most advanced stage of </w:t>
      </w:r>
      <w:r w:rsidR="00C96D67" w:rsidRPr="00577052">
        <w:rPr>
          <w:rFonts w:ascii="Times New Roman" w:hAnsi="Times New Roman" w:cs="Times New Roman"/>
          <w:sz w:val="24"/>
          <w:szCs w:val="24"/>
        </w:rPr>
        <w:t>c</w:t>
      </w:r>
      <w:r w:rsidRPr="00577052">
        <w:rPr>
          <w:rFonts w:ascii="Times New Roman" w:hAnsi="Times New Roman" w:cs="Times New Roman"/>
          <w:sz w:val="24"/>
          <w:szCs w:val="24"/>
        </w:rPr>
        <w:t xml:space="preserve">hronic kidney disease </w:t>
      </w:r>
      <w:r w:rsidRPr="00577052">
        <w:rPr>
          <w:rFonts w:ascii="Times New Roman" w:eastAsia="SimSun" w:hAnsi="Times New Roman" w:cs="Times New Roman"/>
          <w:sz w:val="24"/>
          <w:szCs w:val="24"/>
          <w:lang w:val="en-GB" w:eastAsia="en-US"/>
        </w:rPr>
        <w:t xml:space="preserve">where kidney function is </w:t>
      </w:r>
      <w:r w:rsidR="00E34B52" w:rsidRPr="00577052">
        <w:rPr>
          <w:rFonts w:ascii="Times New Roman" w:eastAsia="SimSun" w:hAnsi="Times New Roman" w:cs="Times New Roman"/>
          <w:sz w:val="24"/>
          <w:szCs w:val="24"/>
          <w:lang w:val="en-GB" w:eastAsia="en-US"/>
        </w:rPr>
        <w:t>irreversibly lost</w:t>
      </w:r>
      <w:r w:rsidR="00AD716C">
        <w:rPr>
          <w:rFonts w:ascii="Times New Roman" w:eastAsia="SimSun" w:hAnsi="Times New Roman" w:cs="Times New Roman"/>
          <w:sz w:val="24"/>
          <w:szCs w:val="24"/>
          <w:lang w:val="en-GB" w:eastAsia="en-US"/>
        </w:rPr>
        <w:t xml:space="preserve">, necessitating </w:t>
      </w:r>
      <w:r w:rsidRPr="00577052">
        <w:rPr>
          <w:rFonts w:ascii="Times New Roman" w:eastAsia="SimSun" w:hAnsi="Times New Roman" w:cs="Times New Roman"/>
          <w:sz w:val="24"/>
          <w:szCs w:val="24"/>
          <w:lang w:val="en-GB" w:eastAsia="en-US"/>
        </w:rPr>
        <w:t>kidney dialysis or transplantation</w:t>
      </w:r>
      <w:r w:rsidR="00AD716C">
        <w:rPr>
          <w:rFonts w:ascii="Times New Roman" w:eastAsia="SimSun" w:hAnsi="Times New Roman" w:cs="Times New Roman"/>
          <w:sz w:val="24"/>
          <w:szCs w:val="24"/>
          <w:lang w:val="en-GB" w:eastAsia="en-US"/>
        </w:rPr>
        <w:t xml:space="preserve"> </w:t>
      </w:r>
      <w:r w:rsidRPr="00577052">
        <w:rPr>
          <w:rFonts w:ascii="Times New Roman" w:hAnsi="Times New Roman" w:cs="Times New Roman"/>
          <w:sz w:val="24"/>
          <w:szCs w:val="24"/>
        </w:rPr>
        <w:fldChar w:fldCharType="begin" w:fldLock="1"/>
      </w:r>
      <w:r w:rsidR="00CC2D6A">
        <w:rPr>
          <w:rFonts w:ascii="Times New Roman" w:hAnsi="Times New Roman" w:cs="Times New Roman"/>
          <w:sz w:val="24"/>
          <w:szCs w:val="24"/>
        </w:rPr>
        <w:instrText>ADDIN CSL_CITATION {"citationItems":[{"id":"ITEM-1","itemData":{"DOI":"10.1016/S0140-6736(11)60178-5","ISSN":"1474547X","PMID":"21840587","abstract":"Chronic kidney disease is a general term for heterogeneous disorders affecting kidney structure and function. The 2002 guidelines for definition and classification of this disease represented an important shift towards its recognition as a worldwide public health problem that should be managed in its early stages by general internists. Disease and management are classified according to stages of disease severity, which are assessed from glomerular filtration rate (GFR) and albuminuria, and clinical diagnosis (cause and pathology). Chronic kidney disease can be detected with routine laboratory tests, and some treatments can prevent development and slow disease progression, reduce complications of decreased GFR and risk of cardiovascular disease, and improve survival and quality of life. In this Seminar we discuss disease burden, recommendations for assessment and management, and future challenges. We emphasise clinical practice guidelines, clinical trials, and areas of uncertainty. © 2012 Elsevier Ltd.","author":[{"dropping-particle":"","family":"Levey","given":"Andrew S.","non-dropping-particle":"","parse-names":false,"suffix":""},{"dropping-particle":"","family":"Coresh","given":"Josef","non-dropping-particle":"","parse-names":false,"suffix":""}],"container-title":"The Lancet","id":"ITEM-1","issued":{"date-parts":[["2012"]]},"page":"165-180","publisher":"Elsevier Ltd","title":"Chronic kidney disease","type":"article-journal","volume":"379"},"uris":["http://www.mendeley.com/documents/?uuid=54c0f4ca-baf8-474f-90cb-480c5573bb42"]},{"id":"ITEM-2","itemData":{"DOI":"10.1038/s41581-020-0315-4","ISSN":"1759507X","PMID":"32733095","abstract":"The development of dialysis by early pioneers such as Willem Kolff and Belding Scribner set in motion several dramatic changes in the epidemiology, economics and ethical frameworks for the treatment of kidney failure. However, despite a rapid expansion in the provision of dialysis — particularly haemodialysis and most notably in high-income countries (HICs) — the rate of true patient-centred innovation has slowed. Current trends are particularly concerning from a global perspective: current costs are not sustainable, even for HICs, and globally, most people who develop kidney failure forego treatment, resulting in millions of deaths every year. Thus, there is an urgent need to develop new approaches and dialysis modalities that are cost-effective, accessible and offer improved patient outcomes. Nephrology researchers are increasingly engaging with patients to determine their priorities for meaningful outcomes that should be used to measure progress. The overarching message from this engagement is that while patients value longevity, reducing symptom burden and achieving maximal functional and social rehabilitation are prioritized more highly. In response, patients, payors, regulators and health-care systems are increasingly demanding improved value, which can only come about through true patient-centred innovation that supports high-quality, high-value care. Substantial efforts are now underway to support requisite transformative changes. These efforts need to be catalysed, promoted and fostered through international collaboration and harmonization.","author":[{"dropping-particle":"","family":"Himmelfarb","given":"Jonathan","non-dropping-particle":"","parse-names":false,"suffix":""},{"dropping-particle":"","family":"Vanholder","given":"Raymond","non-dropping-particle":"","parse-names":false,"suffix":""},{"dropping-particle":"","family":"Mehrotra","given":"Rajnish","non-dropping-particle":"","parse-names":false,"suffix":""},{"dropping-particle":"","family":"Tonelli","given":"Marcello","non-dropping-particle":"","parse-names":false,"suffix":""}],"container-title":"Nature Reviews Nephrology","id":"ITEM-2","issued":{"date-parts":[["2020"]]},"page":"573-585","publisher":"Springer US","title":"The current and future landscape of dialysis","type":"article-journal","volume":"16"},"uris":["http://www.mendeley.com/documents/?uuid=60a9b72e-155f-4f33-a20c-d46dbce771da"]}],"mendeley":{"formattedCitation":"(Himmelfarb et al., 2020; Levey &amp; Coresh, 2012)","plainTextFormattedCitation":"(Himmelfarb et al., 2020; Levey &amp; Coresh, 2012)","previouslyFormattedCitation":"(Himmelfarb et al., 2020; Levey &amp; Coresh, 2012)"},"properties":{"noteIndex":0},"schema":"https://github.com/citation-style-language/schema/raw/master/csl-citation.json"}</w:instrText>
      </w:r>
      <w:r w:rsidRPr="00577052">
        <w:rPr>
          <w:rFonts w:ascii="Times New Roman" w:hAnsi="Times New Roman" w:cs="Times New Roman"/>
          <w:sz w:val="24"/>
          <w:szCs w:val="24"/>
        </w:rPr>
        <w:fldChar w:fldCharType="separate"/>
      </w:r>
      <w:r w:rsidR="007D6381" w:rsidRPr="007D6381">
        <w:rPr>
          <w:rFonts w:ascii="Times New Roman" w:hAnsi="Times New Roman" w:cs="Times New Roman"/>
          <w:noProof/>
          <w:sz w:val="24"/>
          <w:szCs w:val="24"/>
        </w:rPr>
        <w:t>(Himmelfarb et al., 2020; Levey &amp; Coresh, 2012)</w:t>
      </w:r>
      <w:r w:rsidRPr="00577052">
        <w:rPr>
          <w:rFonts w:ascii="Times New Roman" w:hAnsi="Times New Roman" w:cs="Times New Roman"/>
          <w:sz w:val="24"/>
          <w:szCs w:val="24"/>
        </w:rPr>
        <w:fldChar w:fldCharType="end"/>
      </w:r>
      <w:r w:rsidRPr="00577052">
        <w:rPr>
          <w:rFonts w:ascii="Times New Roman" w:hAnsi="Times New Roman" w:cs="Times New Roman"/>
          <w:sz w:val="24"/>
          <w:szCs w:val="24"/>
        </w:rPr>
        <w:t>.</w:t>
      </w:r>
      <w:r w:rsidR="00F75469" w:rsidRPr="00577052">
        <w:rPr>
          <w:rFonts w:ascii="Times New Roman" w:hAnsi="Times New Roman" w:cs="Times New Roman"/>
          <w:sz w:val="24"/>
          <w:szCs w:val="24"/>
        </w:rPr>
        <w:t xml:space="preserve"> </w:t>
      </w:r>
      <w:r w:rsidRPr="00577052">
        <w:rPr>
          <w:rFonts w:ascii="Times New Roman" w:hAnsi="Times New Roman" w:cs="Times New Roman"/>
          <w:sz w:val="24"/>
          <w:szCs w:val="24"/>
        </w:rPr>
        <w:t>Although the use of dialysis and</w:t>
      </w:r>
      <w:r w:rsidR="00AD716C">
        <w:rPr>
          <w:rFonts w:ascii="Times New Roman" w:hAnsi="Times New Roman" w:cs="Times New Roman"/>
          <w:sz w:val="24"/>
          <w:szCs w:val="24"/>
        </w:rPr>
        <w:t xml:space="preserve"> </w:t>
      </w:r>
      <w:r w:rsidRPr="00577052">
        <w:rPr>
          <w:rFonts w:ascii="Times New Roman" w:hAnsi="Times New Roman" w:cs="Times New Roman"/>
          <w:sz w:val="24"/>
          <w:szCs w:val="24"/>
        </w:rPr>
        <w:t xml:space="preserve">transplantation has transformed ESRD from an acute life-limiting disease to a chronic disease, ESRD is accompanied by substantial treatment and symptom burden that interferes with patients’ daily functioning and quality of life </w:t>
      </w:r>
      <w:r w:rsidRPr="00577052">
        <w:rPr>
          <w:rFonts w:ascii="Times New Roman" w:hAnsi="Times New Roman" w:cs="Times New Roman"/>
          <w:sz w:val="24"/>
          <w:szCs w:val="24"/>
        </w:rPr>
        <w:fldChar w:fldCharType="begin" w:fldLock="1"/>
      </w:r>
      <w:r w:rsidR="00CC2D6A">
        <w:rPr>
          <w:rFonts w:ascii="Times New Roman" w:hAnsi="Times New Roman" w:cs="Times New Roman"/>
          <w:sz w:val="24"/>
          <w:szCs w:val="24"/>
        </w:rPr>
        <w:instrText>ADDIN CSL_CITATION {"citationItems":[{"id":"ITEM-1","itemData":{"DOI":"10.1681/ASN.2005020157","ISSN":"10466673","PMID":"15975996","abstract":"The prevalence, severity, and clinical significance of physical and emotional symptoms in patients who are on maintenance hemodialysis remain incompletely characterized. This study sought to assess symptoms and their relationship to quality of life and depression. The recently developed Dialysis Symptom Index was used to assess the presence and the severity of 30 symptoms. The Illness Effects Questionnaire and Beck Depression Inventory were used to evaluate quality of life and depression, respectively. Correlations among symptom burden, symptom severity, quality of life, and depression were assessed using Spearman correlation coefficient. A total of 162 patients from three dialysis units were enrolled. Mean age was 62 y, 48% were black, 62% were men, and 48% had diabetes. The median number of symptoms was 9.0 (interquartile range 6 to 13). Dry skin, fatigue, itchin</w:instrText>
      </w:r>
      <w:r w:rsidR="00CC2D6A">
        <w:rPr>
          <w:rFonts w:ascii="Times New Roman" w:hAnsi="Times New Roman" w:cs="Times New Roman" w:hint="eastAsia"/>
          <w:sz w:val="24"/>
          <w:szCs w:val="24"/>
        </w:rPr>
        <w:instrText xml:space="preserve">g, and bone/joint pain each were reported by </w:instrText>
      </w:r>
      <w:r w:rsidR="00CC2D6A">
        <w:rPr>
          <w:rFonts w:ascii="Times New Roman" w:hAnsi="Times New Roman" w:cs="Times New Roman" w:hint="eastAsia"/>
          <w:sz w:val="24"/>
          <w:szCs w:val="24"/>
        </w:rPr>
        <w:instrText>≥</w:instrText>
      </w:r>
      <w:r w:rsidR="00CC2D6A">
        <w:rPr>
          <w:rFonts w:ascii="Times New Roman" w:hAnsi="Times New Roman" w:cs="Times New Roman" w:hint="eastAsia"/>
          <w:sz w:val="24"/>
          <w:szCs w:val="24"/>
        </w:rPr>
        <w:instrText>50% of patients. Seven additional symptoms were reported by &gt;33% of patients. Sixteen individual symptoms were described as being more than \"somewhat bothersome.\" Overall symptom burden and severity each wer</w:instrText>
      </w:r>
      <w:r w:rsidR="00CC2D6A">
        <w:rPr>
          <w:rFonts w:ascii="Times New Roman" w:hAnsi="Times New Roman" w:cs="Times New Roman"/>
          <w:sz w:val="24"/>
          <w:szCs w:val="24"/>
        </w:rPr>
        <w:instrText>e correlated directly with impaired quality of life and depression. In multivariable analyses adjusting for demographic and clinical variables including depression, associations between symptoms and quality of life remained robust. Physical and emotional symptoms are prevalent, can be severe, and are correlated directly with impaired quality of life and depression in maintenance hemodialysis patients. Incorporating a standard assessment of symptoms into the care provided to maintenance hemodialysis patients may provide a means to improve quality of life in this patient population. Copyright © 2005 by the American Society of Nephrology.","author":[{"dropping-particle":"","family":"Weisbord","given":"Steven D.","non-dropping-particle":"","parse-names":false,"suffix":""},{"dropping-particle":"","family":"Fried","given":"Linda F.","non-dropping-particle":"","parse-names":false,"suffix":""},{"dropping-particle":"","family":"Arnold","given":"Robert M.","non-dropping-particle":"","parse-names":false,"suffix":""},{"dropping-particle":"","family":"Fine","given":"Michael J.","non-dropping-particle":"","parse-names":false,"suffix":""},{"dropping-particle":"","family":"Levenson","given":"David J.","non-dropping-particle":"","parse-names":false,"suffix":""},{"dropping-particle":"","family":"Peterson","given":"Rolf A.","non-dropping-particle":"","parse-names":false,"suffix":""},{"dropping-particle":"","family":"Switzer","given":"Galen E.","non-dropping-particle":"","parse-names":false,"suffix":""}],"container-title":"Journal of the American Society of Nephrology","id":"ITEM-1","issue":"8","issued":{"date-parts":[["2005"]]},"page":"2487-2494","title":"Prevalence, severity, and importance of physical and emotional symptoms in chronic hemodialysis patients","type":"article-journal","volume":"16"},"uris":["http://www.mendeley.com/documents/?uuid=117ac6ed-3b01-49d1-b78a-161a6bbbd9d1"]},{"id":"ITEM-2","itemData":{"ISSN":"1526744X","PMID":"12596605","abstract":"Dialysis patients experience numerous symptoms, some serious in terms of medical outcomes and all serious in terms of potential reductions in functioning and well-being. This cross-sectional study used self-reports of hemodialysis patients to catalogue symptoms; hypothesizing that frequently experienced symptoms, regardless of acuity, negatively affect functioning and well-being. Data were collected from 307 randomly selected hemodialysis patients from 14 dialysis facilities. Twenty-two of the 47 symptoms queried had mean experience scores of &gt; or = 1 on a scale of 0-4, that is, were experienced by patients at least \"a little of the time.\" Seventeen of these 22 symptoms were significantly correlated (&lt; or = .01) with the SF-36 Physical Component Summary (PCS) scale, Mental Component Summary (MCS) scale, or both. All but four of these 17 symptoms (dry mouth, itchy skin, lack of appetite, and restless legs) clustered around fatigue/sleep, sexual concerns, or mobility. Linear multiple regression showed age, diabetes, the fatigue/sleep and mobility clusters, and itchy skin to be negatively associated with the PCS (p &lt; or = .01). The fatigue/sleep cluster was also negatively associated with the MCS. Because previous research has shown the PCS and MCS to be associated with morbidity and mortality, management of common, non-acute symptoms may have long-term benefits for hemodialysis patients.","author":[{"dropping-particle":"","family":"Curtin","given":"Roberta Braun","non-dropping-particle":"","parse-names":false,"suffix":""},{"dropping-particle":"","family":"Bultman","given":"Dara C.","non-dropping-particle":"","parse-names":false,"suffix":""},{"dropping-particle":"","family":"Thomas-Hawkins","given":"Charlotte","non-dropping-particle":"","parse-names":false,"suffix":""},{"dropping-particle":"","family":"Walters","given":"Brian A.J.","non-dropping-particle":"","parse-names":false,"suffix":""},{"dropping-particle":"","family":"Schatell","given":"Dorian","non-dropping-particle":"","parse-names":false,"suffix":""}],"container-title":"Nephrology Nursing Journal","id":"ITEM-2","issue":"6","issued":{"date-parts":[["2002"]]},"page":"562-574","title":"Hemodialysis patients' symptom experiences: effects on physical and mental functioning","type":"article-journal","volume":"29"},"uris":["http://www.mendeley.com/documents/?uuid=3885f0d4-02a1-4872-ba1c-b303ff74be5a"]},{"id":"ITEM-3","itemData":{"DOI":"10.1053/j.ajkd.2009.05.003","ISSN":"02726386","PMID":"19592143","author":[{"dropping-particle":"","family":"Hedayati","given":"S. Susan","non-dropping-particle":"","parse-names":false,"suffix":""},{"dropping-particle":"","family":"Finkelstein","given":"Fredric O.","non-dropping-particle":"","parse-names":false,"suffix":""}],"container-title":"American Journal of Kidney Diseases","id":"ITEM-3","issue":"4","issued":{"date-parts":[["2009"]]},"page":"741-752","publisher":"Elsevier Inc.","title":"Epidemiology, Diagnosis, and Management of Depression in Patients With CKD","type":"article-journal","volume":"54"},"uris":["http://www.mendeley.com/documents/?uuid=71e761ce-a43f-4dbe-866c-c2f942d06e46"]},{"id":"ITEM-4","itemData":{"DOI":"10.2147/IJNRD.S126615","ISSN":"11787058","abstract":"Psychiatric disorders commonly co-exist with the diagnosis of chronic kidney disease (CKD). Research on depression and CKD has increased to a great extent. Multiple studies have demonstrated that depression is more prevalent in CKD and that end-stage renal disease is a robust risk factor for adverse outcomes such as hospitalization and mortality, yet these are often underdiagnosed or untreated. This review provides a selective overview on the prevalence rates of depression and anxiety in patients with CKD and across renal replacement therapies, the factors most consistently associated with symptoms of distress and their clinical implications. Finally, treatment and management strategies from relevant literature are appraised and discussed.","author":[{"dropping-particle":"","family":"Goh","given":"Zhong Sheng","non-dropping-particle":"","parse-names":false,"suffix":""},{"dropping-particle":"","family":"Griva","given":"Konstadina","non-dropping-particle":"","parse-names":false,"suffix":""}],"container-title":"International Journal of Nephrology and Renovascular Diseajse","id":"ITEM-4","issued":{"date-parts":[["2018"]]},"page":"93-102","title":"Anxiety and depression in patients with end-stage renal disease: impact and management challenges – a narrative review","type":"article-journal","volume":"11"},"uris":["http://www.mendeley.com/documents/?uuid=d827abf1-cfe2-48b6-a2a3-e68a01948de6"]},{"id":"ITEM-5","itemData":{"DOI":"10.1097/j.pain.0000000000001931","abstract":"Pain is a severe and common symptom in patients receiving dialysis but remains inadequately managed in clinical practice. Understanding patient experiences of pain can informstrategies toaddress this patient-important symptom.Weaimed to describe patients’ perspectiveson causes, experiences, and impacts of dialysis-associated pain. MEDLINE, Embase, PsycINFO, and CINAHL were searched to August 2019 for all qualitative studies that described the perspectives of pain in adults aged 18 years or older receiving dialysis. Findings from the primary studies were analyzed using thematic synthesis. We included 60 studies across 14 countries involving 1343 participants (1215 receiving hemodialysis and 128 receiving peritoneal dialysis), and identified 6 themes: gripped by an all-consuming agony (draining cognitive capacity, exacerbating other symptoms); suffering in silence (surrendering to the inevitable, ignored or dismissed, hiding symptoms to protect others); provoking fear of treatment (resistance to cannulation, avoiding dialysis, anxious from witnessing other patients in pain); preventing life participation (preventing fulfilment of valued roles, depleting the will to live); coping aided by connection with others (shared understanding among patients, comforted and supported by others); and developing awareness, assertiveness, and self-reliance (procedural vigilance, finding strategies to minimize pain, bodily understanding and knowing thresholds, positive thinking). Struggling with pain in dialysis involved aprogressionof agony, fear, avoidance, anddespair. However, support fromothersand self-management strategieswereused tocopewith pain. Strategies to empower patients to report and minimize pain and its consequences in dialysis are needed.","author":[{"dropping-particle":"","family":"Zhang","given":"Kelly","non-dropping-particle":"","parse-names":false,"suffix":""},{"dropping-particle":"","family":"Hannan","given":"Elyssa","non-dropping-particle":"","parse-names":false,"suffix":""},{"dropping-particle":"","family":"Scholes-Robertson","given":"Nicole","non-dropping-particle":"","parse-names":false,"suffix":""},{"dropping-particle":"","family":"Baumgart","given":"Amanda","non-dropping-particle":"","parse-names":false,"suffix":""},{"dropping-particle":"","family":"Guha","given":"Chandana","non-dropping-particle":"","parse-names":false,"suffix":""},{"dropping-particle":"","family":"Kerklaan","given":"Jasmijin","non-dropping-particle":"","parse-names":false,"suffix":""},{"dropping-particle":"","family":"Hanson","given":"Camila S.","non-dropping-particle":"","parse-names":false,"suffix":""},{"dropping-particle":"","family":"Craig","given":"Jonathan C.","non-dropping-particle":"","parse-names":false,"suffix":""},{"dropping-particle":"","family":"Davison","given":"Sara N.","non-dropping-particle":"","parse-names":false,"suffix":""},{"dropping-particle":"","family":"Hecking","given":"Manfred","non-dropping-particle":"","parse-names":false,"suffix":""},{"dropping-particle":"","family":"Tong","given":"Alison","non-dropping-particle":"","parse-names":false,"suffix":""}],"container-title":"Pain","id":"ITEM-5","issue":"9","issued":{"date-parts":[["2020"]]},"page":"1983-1994","title":"Patients’ perspectives of pain in dialysis: systematic review and thematic synthesis of qualitative studies","type":"article-journal","volume":"161"},"uris":["http://www.mendeley.com/documents/?uuid=6393af99-7435-4082-a2f8-785a5bcd29e1"]}],"mendeley":{"formattedCitation":"(Curtin et al., 2002; Goh &amp; Griva, 2018; Hedayati &amp; Finkelstein, 2009; Weisbord et al., 2005; Zhang et al., 2020)","plainTextFormattedCitation":"(Curtin et al., 2002; Goh &amp; Griva, 2018; Hedayati &amp; Finkelstein, 2009; Weisbord et al., 2005; Zhang et al., 2020)","previouslyFormattedCitation":"(Curtin et al., 2002; Goh &amp; Griva, 2018; Hedayati &amp; Finkelstein, 2009; Weisbord et al., 2005; Zhang et al., 2020)"},"properties":{"noteIndex":0},"schema":"https://github.com/citation-style-language/schema/raw/master/csl-citation.json"}</w:instrText>
      </w:r>
      <w:r w:rsidRPr="00577052">
        <w:rPr>
          <w:rFonts w:ascii="Times New Roman" w:hAnsi="Times New Roman" w:cs="Times New Roman"/>
          <w:sz w:val="24"/>
          <w:szCs w:val="24"/>
        </w:rPr>
        <w:fldChar w:fldCharType="separate"/>
      </w:r>
      <w:r w:rsidR="007D6381" w:rsidRPr="007D6381">
        <w:rPr>
          <w:rFonts w:ascii="Times New Roman" w:hAnsi="Times New Roman" w:cs="Times New Roman"/>
          <w:noProof/>
          <w:sz w:val="24"/>
          <w:szCs w:val="24"/>
        </w:rPr>
        <w:t>(Curtin et al., 2002; Goh &amp; Griva, 2018; Hedayati &amp; Finkelstein, 2009; Weisbord et al., 2005; Zhang et al., 2020)</w:t>
      </w:r>
      <w:r w:rsidRPr="00577052">
        <w:rPr>
          <w:rFonts w:ascii="Times New Roman" w:hAnsi="Times New Roman" w:cs="Times New Roman"/>
          <w:sz w:val="24"/>
          <w:szCs w:val="24"/>
        </w:rPr>
        <w:fldChar w:fldCharType="end"/>
      </w:r>
      <w:r w:rsidRPr="00577052">
        <w:rPr>
          <w:rFonts w:ascii="Times New Roman" w:hAnsi="Times New Roman" w:cs="Times New Roman"/>
          <w:sz w:val="24"/>
          <w:szCs w:val="24"/>
        </w:rPr>
        <w:t>.</w:t>
      </w:r>
    </w:p>
    <w:p w14:paraId="29D3E848" w14:textId="502C26CC" w:rsidR="00284EC9" w:rsidRPr="00577052" w:rsidRDefault="00284EC9" w:rsidP="00577052">
      <w:pPr>
        <w:pStyle w:val="CommentText"/>
        <w:spacing w:line="480" w:lineRule="auto"/>
        <w:ind w:firstLine="567"/>
        <w:contextualSpacing/>
        <w:rPr>
          <w:rFonts w:ascii="Times New Roman" w:hAnsi="Times New Roman" w:cs="Times New Roman"/>
          <w:sz w:val="24"/>
          <w:szCs w:val="24"/>
        </w:rPr>
      </w:pPr>
      <w:r w:rsidRPr="00577052">
        <w:rPr>
          <w:rFonts w:ascii="Times New Roman" w:hAnsi="Times New Roman" w:cs="Times New Roman"/>
          <w:sz w:val="24"/>
          <w:szCs w:val="24"/>
        </w:rPr>
        <w:t xml:space="preserve">The burden of cognitive impairments (CIs) in </w:t>
      </w:r>
      <w:r w:rsidR="0067764D">
        <w:rPr>
          <w:rFonts w:ascii="Times New Roman" w:hAnsi="Times New Roman" w:cs="Times New Roman"/>
          <w:sz w:val="24"/>
          <w:szCs w:val="24"/>
        </w:rPr>
        <w:t>ESRD</w:t>
      </w:r>
      <w:r w:rsidRPr="00577052">
        <w:rPr>
          <w:rFonts w:ascii="Times New Roman" w:hAnsi="Times New Roman" w:cs="Times New Roman"/>
          <w:sz w:val="24"/>
          <w:szCs w:val="24"/>
        </w:rPr>
        <w:t xml:space="preserve"> </w:t>
      </w:r>
      <w:r w:rsidR="00F75469" w:rsidRPr="00577052">
        <w:rPr>
          <w:rFonts w:ascii="Times New Roman" w:hAnsi="Times New Roman" w:cs="Times New Roman"/>
          <w:sz w:val="24"/>
          <w:szCs w:val="24"/>
        </w:rPr>
        <w:t>has been well documented in the literature</w:t>
      </w:r>
      <w:r w:rsidRPr="00577052">
        <w:rPr>
          <w:rFonts w:ascii="Times New Roman" w:hAnsi="Times New Roman" w:cs="Times New Roman"/>
          <w:sz w:val="24"/>
          <w:szCs w:val="24"/>
        </w:rPr>
        <w:t xml:space="preserve">. </w:t>
      </w:r>
      <w:r w:rsidR="00140E36" w:rsidRPr="00577052">
        <w:rPr>
          <w:rFonts w:ascii="Times New Roman" w:hAnsi="Times New Roman" w:cs="Times New Roman"/>
          <w:sz w:val="24"/>
          <w:szCs w:val="24"/>
        </w:rPr>
        <w:t xml:space="preserve">CIs refer to deficits in cognitive domains </w:t>
      </w:r>
      <w:r w:rsidR="00140E36" w:rsidRPr="00577052">
        <w:rPr>
          <w:rFonts w:ascii="Times New Roman" w:eastAsia="SimSun" w:hAnsi="Times New Roman" w:cs="Times New Roman"/>
          <w:color w:val="000000" w:themeColor="text1"/>
          <w:sz w:val="24"/>
          <w:szCs w:val="24"/>
          <w:lang w:val="en-GB" w:eastAsia="en-US"/>
        </w:rPr>
        <w:t>such as attention, memory, and executive function and its severity can range from mild impairments to dementia.</w:t>
      </w:r>
      <w:r w:rsidR="005F3C6B" w:rsidRPr="00577052">
        <w:rPr>
          <w:rFonts w:ascii="Times New Roman" w:eastAsia="SimSun" w:hAnsi="Times New Roman" w:cs="Times New Roman"/>
          <w:color w:val="000000" w:themeColor="text1"/>
          <w:sz w:val="24"/>
          <w:szCs w:val="24"/>
          <w:lang w:val="en-GB" w:eastAsia="en-US"/>
        </w:rPr>
        <w:t xml:space="preserve"> </w:t>
      </w:r>
      <w:r w:rsidR="00B936BD">
        <w:rPr>
          <w:rFonts w:ascii="Times New Roman" w:eastAsia="SimSun" w:hAnsi="Times New Roman" w:cs="Times New Roman"/>
          <w:color w:val="000000" w:themeColor="text1"/>
          <w:sz w:val="24"/>
          <w:szCs w:val="24"/>
          <w:lang w:val="en-GB" w:eastAsia="en-US"/>
        </w:rPr>
        <w:t>These impairments</w:t>
      </w:r>
      <w:r w:rsidR="005F3C6B" w:rsidRPr="00577052">
        <w:rPr>
          <w:rFonts w:ascii="Times New Roman" w:eastAsia="SimSun" w:hAnsi="Times New Roman" w:cs="Times New Roman"/>
          <w:color w:val="000000" w:themeColor="text1"/>
          <w:sz w:val="24"/>
          <w:szCs w:val="24"/>
          <w:lang w:val="en-GB" w:eastAsia="en-US"/>
        </w:rPr>
        <w:t xml:space="preserve"> may start to manifest in early stages of </w:t>
      </w:r>
      <w:r w:rsidR="002B310A" w:rsidRPr="00577052">
        <w:rPr>
          <w:rFonts w:ascii="Times New Roman" w:hAnsi="Times New Roman" w:cs="Times New Roman"/>
          <w:sz w:val="24"/>
          <w:szCs w:val="24"/>
        </w:rPr>
        <w:t xml:space="preserve">chronic kidney disease </w:t>
      </w:r>
      <w:r w:rsidRPr="00577052">
        <w:rPr>
          <w:rFonts w:ascii="Times New Roman" w:hAnsi="Times New Roman" w:cs="Times New Roman"/>
          <w:sz w:val="24"/>
          <w:szCs w:val="24"/>
        </w:rPr>
        <w:fldChar w:fldCharType="begin" w:fldLock="1"/>
      </w:r>
      <w:r w:rsidR="00CC2D6A">
        <w:rPr>
          <w:rFonts w:ascii="Times New Roman" w:hAnsi="Times New Roman" w:cs="Times New Roman"/>
          <w:sz w:val="24"/>
          <w:szCs w:val="24"/>
        </w:rPr>
        <w:instrText>ADDIN CSL_CITATION {"citationItems":[{"id":"ITEM-1","itemData":{"DOI":"10.1017/S1355617718000917","ISSN":"14697661","PMID":"30463631","abstract":"Objectives: Recognition of cognitive impairment in chronic kidney disease (CKD) and its impact on functioning in adults is growing. The vast majority of studies to date have been conducted in older populations where CKD is more pronounced; however, the degree to which age-related cognitive changes could be influencing these findings remains unaddressed. This current study thus aimed to review cognitive impairment findings by stage in non-elderly CKD samples. Methods: PubMed and Medline via Scopus were searched for cross-sectional or cohort studies and randomized controlled trials that assessed cognitive function in individuals with CKD in any research setting. CKD studies including patients at any illness stage were included providing participants were below 65 years old, were not on peritoneal dialysis and had not undergone a kidney transplant. Results: Fifteen studies, with a total of 9304 participants, were included. Cognitive function broadly deteriorated from stage 1 to stage 5. Early stage CKD was associated with a drop in speed of processing, attention, response speed, and short-term memory abilities. Moderate stage CKD was associated with deficits in executive functioning, verbal fluency, logical memory, orientation and concentration. People with end stage kidney disease manifested significant deficits in all previous cognitive domains, along with cognitive control, delayed and immediate memory, visuospatial impairment, and overall cognitive impairment. Conclusions: Cognitive impairment is evident across the stages of CKD, independent of age-related changes, for both lower-order and higher-order cognitive abilities. These impairments also increase between the stages, suggesting a cumulative effect. Future directions for research are discussed. (JINS, 2019, 25, 101-114)","author":[{"dropping-particle":"","family":"Brodski","given":"Julia","non-dropping-particle":"","parse-names":false,"suffix":""},{"dropping-particle":"","family":"Rossell","given":"Susan L.","non-dropping-particle":"","parse-names":false,"suffix":""},{"dropping-particle":"","family":"Castle","given":"David J.","non-dropping-particle":"","parse-names":false,"suffix":""},{"dropping-particle":"","family":"Tan","given":"Eric J.","non-dropping-particle":"","parse-names":false,"suffix":""}],"container-title":"Journal of the International Neuropsychological Society","id":"ITEM-1","issued":{"date-parts":[["2019"]]},"page":"101-114","title":"A systematic review of cognitive impairments associated with kidney failure in adults before natural age-related changes","type":"article-journal","volume":"25"},"uris":["http://www.mendeley.com/documents/?uuid=10b4c9d8-5762-4349-b0d3-e93d5d94725e"]},{"id":"ITEM-2","itemData":{"DOI":"10.1186/s12916-016-0745-9","ISSN":"17417015","abstract":"Background: Cognitive impairment is common in people with chronic kidney disease (CKD) and associated with increased morbidity and mortality. Subtle changes can impact engagement with healthcare, comprehension, decision-making, and medication adherence. We aimed to systematically summarise evidence of cognitive changes in CKD. Methods: We searched MEDLINE (March 2016) for cross-sectional, cohort or randomised studies that measured cognitive function in people with CKD (PROSPERO, registration number CRD42014015226). The CKD population included people with eGFR&lt;60mL/min/1.73m2, not receiving renal replacement therapy, in any research setting. We conducted a meta-analysis using random effects, expressed as standardised mean differences (SMD) with 95% confidence intervals (CI). Outcomes were performance in eight cognitive domains. Bias was assessed with the Newcastle-Ottawa Scale (NOS). Results: We identified 44 studies reporting sufficient data for synthesis (51,575 participants). Mean NOS score for cohort studies was 5.8/9 and for cross-sectional 5.4/10. Studies were deficient in NOS outcome and selection due to poor methods r</w:instrText>
      </w:r>
      <w:r w:rsidR="00CC2D6A">
        <w:rPr>
          <w:rFonts w:ascii="Times New Roman" w:hAnsi="Times New Roman" w:cs="Times New Roman" w:hint="eastAsia"/>
          <w:sz w:val="24"/>
          <w:szCs w:val="24"/>
        </w:rPr>
        <w:instrText>eporting and in comparison group validity of demographics and chronic disease status. CKD patients (eGFR&lt;60mL/min/1.73m2) performed worse than control groups (eGFR</w:instrText>
      </w:r>
      <w:r w:rsidR="00CC2D6A">
        <w:rPr>
          <w:rFonts w:ascii="Times New Roman" w:hAnsi="Times New Roman" w:cs="Times New Roman" w:hint="eastAsia"/>
          <w:sz w:val="24"/>
          <w:szCs w:val="24"/>
        </w:rPr>
        <w:instrText>≥</w:instrText>
      </w:r>
      <w:r w:rsidR="00CC2D6A">
        <w:rPr>
          <w:rFonts w:ascii="Times New Roman" w:hAnsi="Times New Roman" w:cs="Times New Roman" w:hint="eastAsia"/>
          <w:sz w:val="24"/>
          <w:szCs w:val="24"/>
        </w:rPr>
        <w:instrText>60mL/min/1.73m2) on Orientation &amp; Attention (SMD -0.79, 95% CI, -1.44 to -0.13), Language (</w:instrText>
      </w:r>
      <w:r w:rsidR="00CC2D6A">
        <w:rPr>
          <w:rFonts w:ascii="Times New Roman" w:hAnsi="Times New Roman" w:cs="Times New Roman"/>
          <w:sz w:val="24"/>
          <w:szCs w:val="24"/>
        </w:rPr>
        <w:instrText>SMD -0.63, 95% CI, -0.85 to -0.41), Concept Formation &amp; Reasoning (SMD -0.63, 95% CI, -1.07 to -0.18), Executive Function (SMD -0.53, 95% CI, -0.85 to -0.21), Memory (SMD -0.48, 95% CI, -0.79 to -0.18), and Global Cognition (SMD -0.48, 95% CI, -0.72 to -0.24). Construction &amp; Motor Praxis and Perception were unaffected (SMD -0.29, 95% CI, -0.90 to 0.32; SMD -1.12, 95% CI, -4.35 to 2.12). Language scores dropped with eGFR (&lt;45mL/min/1.73m2 SMD -0.86, 95% CI, -1.25 to -46; 30mL/min/1.73m2 SMD -1.56, 95% CI, -2.27 to -0.84). Differences in Orientation &amp; Attention were greatest at eGFR&lt;45mL/min/1.73m2 (SMD -4.62, 95% CI, -4.68 to -4.55). Concept Formation &amp; Reasoning differences were greatest at eGFR&lt;45mL/min/1.73m2 (SMD -4.27, 95% CI, -4.23 to -4.27). Differences in Executive Functions were greatest at eGFR&lt;30mL/min/1.73m2 (SMD -0.54, 95% CI, -1.00 to -0.08). Conclusions: Cognitive changes occur early in CKD, and skills decline at different rates. Orientation &amp; Attention and Language are particularly affected. The cognitive impact of CKD is likely to diminish patients' capacity to engage…","author":[{"dropping-particle":"","family":"Berger","given":"Israel","non-dropping-particle":"","parse-names":false,"suffix":""},{"dropping-particle":"","family":"Wu","given":"Sunny","non-dropping-particle":"","parse-names":false,"suffix":""},{"dropping-particle":"","family":"Masson","given":"Philip","non-dropping-particle":"","parse-names":false,"suffix":""},{"dropping-particle":"","family":"Kelly","given":"Patrick J.","non-dropping-particle":"","parse-names":false,"suffix":""},{"dropping-particle":"","family":"Duthie","given":"Fiona A.","non-dropping-particle":"","parse-names":false,"suffix":""},{"dropping-particle":"","family":"Whiteley","given":"William","non-dropping-particle":"","parse-names":false,"suffix":""},{"dropping-particle":"","family":"Parker","given":"Daniel","non-dropping-particle":"","parse-names":false,"suffix":""},{"dropping-particle":"","family":"Gillespie","given":"David","non-dropping-particle":"","parse-names":false,"suffix":""},{"dropping-particle":"","family":"Webster","given":"Angela C.","non-dropping-particle":"","parse-names":false,"suffix":""}],"container-title":"BMC Medicine","id":"ITEM-2","issued":{"date-parts":[["2016"]]},"page":"206","publisher":"BMC Medicine","title":"Cognition in chronic kidney disease: A systematic review and meta-analysis","type":"article-journal","volume":"14"},"uris":["http://www.mendeley.com/documents/?uuid=0c57d68d-df61-466f-8cef-e6490436d6ab"]}],"mendeley":{"formattedCitation":"(Berger et al., 2016; Brodski et al., 2019)","plainTextFormattedCitation":"(Berger et al., 2016; Brodski et al., 2019)","previouslyFormattedCitation":"(Berger et al., 2016; Brodski et al., 2019)"},"properties":{"noteIndex":0},"schema":"https://github.com/citation-style-language/schema/raw/master/csl-citation.json"}</w:instrText>
      </w:r>
      <w:r w:rsidRPr="00577052">
        <w:rPr>
          <w:rFonts w:ascii="Times New Roman" w:hAnsi="Times New Roman" w:cs="Times New Roman"/>
          <w:sz w:val="24"/>
          <w:szCs w:val="24"/>
        </w:rPr>
        <w:fldChar w:fldCharType="separate"/>
      </w:r>
      <w:r w:rsidR="007D6381" w:rsidRPr="007D6381">
        <w:rPr>
          <w:rFonts w:ascii="Times New Roman" w:hAnsi="Times New Roman" w:cs="Times New Roman"/>
          <w:noProof/>
          <w:sz w:val="24"/>
          <w:szCs w:val="24"/>
        </w:rPr>
        <w:t>(Berger et al., 2016; Brodski et al., 2019)</w:t>
      </w:r>
      <w:r w:rsidRPr="00577052">
        <w:rPr>
          <w:rFonts w:ascii="Times New Roman" w:hAnsi="Times New Roman" w:cs="Times New Roman"/>
          <w:sz w:val="24"/>
          <w:szCs w:val="24"/>
        </w:rPr>
        <w:fldChar w:fldCharType="end"/>
      </w:r>
      <w:r w:rsidRPr="00577052">
        <w:rPr>
          <w:rFonts w:ascii="Times New Roman" w:hAnsi="Times New Roman" w:cs="Times New Roman"/>
          <w:sz w:val="24"/>
          <w:szCs w:val="24"/>
        </w:rPr>
        <w:t xml:space="preserve"> and are not fully reversible by dialysis or transplantation </w:t>
      </w:r>
      <w:r w:rsidRPr="00577052">
        <w:rPr>
          <w:rFonts w:ascii="Times New Roman" w:eastAsia="SimSun" w:hAnsi="Times New Roman" w:cs="Times New Roman"/>
          <w:color w:val="000000" w:themeColor="text1"/>
          <w:sz w:val="24"/>
          <w:szCs w:val="24"/>
          <w:lang w:val="en-GB" w:eastAsia="en-US"/>
        </w:rPr>
        <w:fldChar w:fldCharType="begin" w:fldLock="1"/>
      </w:r>
      <w:r w:rsidR="00CC2D6A">
        <w:rPr>
          <w:rFonts w:ascii="Times New Roman" w:eastAsia="SimSun" w:hAnsi="Times New Roman" w:cs="Times New Roman"/>
          <w:color w:val="000000" w:themeColor="text1"/>
          <w:sz w:val="24"/>
          <w:szCs w:val="24"/>
          <w:lang w:val="en-GB" w:eastAsia="en-US"/>
        </w:rPr>
        <w:instrText>ADDIN CSL_CITATION {"citationItems":[{"id":"ITEM-1","itemData":{"DOI":"10.1007/s10157-019-01762-1","ISBN":"0123456789","ISSN":"14377799","abstract":"Background: Cognitive impairment (CI) is common among patients on peritoneal dialysis (PD), but it is under-recognized and systematic review on its prevalence and impact across different geographical locations or patient characteristics is lacking. Methods: A search of the literature on CI in PD patients published between 1 Jan 1980 and 25.April 2019 was conducted. Meta-analysis using a random effects model was performed to determine the pooled estimate of the prevalence of CI. Meta-regression was performed to identify factors contributing to the variance of prevalence rate. A systematic review was also performed to study risk factors of CI and its impact on clinical outcomes. Results: Eight studies were included and the relevant data from 1736 patients were extracted for analysis. Meta-analysis revealed a pooled prevalence of CI at 28.7% (95% CI 15.9–46%). Meta-regression analyses showed that the prevalence of CI was unrelated to patient’s age, gender, duration of PD, healthcare policy of dialysis modality, the prospective or retrospective nature of studies, or year of publication. Systematic review of 20 studies showed that older age, female sex and lower education were risk factors for CI. Potential reversible factors for CI include electrolytes disturbances, depression and vitamin D deficiency. Also, CI was associated with a higher risk of hospitalization, mostly due to PD-related peritonitis. Conclusions: CI is common in patients on long-term PD. Screening for CI should be considered in PD patients with increased risk.","author":[{"dropping-particle":"","family":"Shea","given":"Yat fung","non-dropping-particle":"","parse-names":false,"suffix":""},{"dropping-particle":"","family":"Lee","given":"Mi suen Connie","non-dropping-particle":"","parse-names":false,"suffix":""},{"dropping-particle":"","family":"Mok","given":"Ming yee Maggie","non-dropping-particle":"","parse-names":false,"suffix":""},{"dropping-particle":"","family":"Chan","given":"Felix Hon wai","non-dropping-particle":"","parse-names":false,"suffix":""},{"dropping-particle":"","family":"Chan","given":"Tak Mao","non-dropping-particle":"","parse-names":false,"suffix":""}],"container-title":"Clinical and Experimental Nephrology","id":"ITEM-1","issued":{"date-parts":[["2019"]]},"page":"1221-1234","publisher":"Springer Singapore","title":"Prevalence of cognitive impairment among peritoneal dialysis patients: a systematic review and meta-analysis","type":"article-journal","volume":"23"},"uris":["http://www.mendeley.com/documents/?uuid=5fcb2d67-fd30-40c1-bcf9-afabf49f0332"]},{"id":"ITEM-2","itemData":{"DOI":"10.1159/000479679","ISSN":"14219824","abstract":"Background: Cognitive impairment in end-stage kidney disease patients on dialysis is increasingly common. This study aimed to review the practice of screening and to evaluate the evidence on cognitive impairment prevalence in this population. Methods: This scoping review of studies summarises the evidence on cognitive impairment in dialysis populations. The search included the Medline, CINAHL, Embase, PsycINFO, PubMed, and Cochrane Library databases for English-language articles published between 2000 and 2015. A total of 46 articles were reviewed. Results: The studies were of prospective observational design, with the majority conducted in the haemodialysis population. The reported prevalence of cognitive impairment ranged from 6.6 to 51%. Three screening tools were consistently used. Conclusion: While cognitive impairment is recognised in the dialysis population, there is paucity of screening data. The design of prospective comparisons ideally includes established screening instruments, particularly the Montreal Cognitive Assessment, to determine the optimal results for this population. Translation of established screening tools to increase the inclusion of people from other cultural and language groups is required. Regular screening can enhance the timing to introduce home-based care support and advance care planning discussions.","author":[{"dropping-particle":"","family":"San","given":"Aye","non-dropping-particle":"","parse-names":false,"suffix":""},{"dropping-particle":"","family":"Hiremagalur","given":"Balaji","non-dropping-particle":"","parse-names":false,"suffix":""},{"dropping-particle":"","family":"Muircroft","given":"Wendy","non-dropping-particle":"","parse-names":false,"suffix":""},{"dropping-particle":"","family":"Grealish","given":"Laurie","non-dropping-particle":"","parse-names":false,"suffix":""}],"container-title":"Dementia and Geriatric Cognitive Disorders","id":"ITEM-2","issued":{"date-parts":[["2017"]]},"page":"182-195","title":"Screening of Cognitive Impairment in the Dialysis Population: A Scoping Review","type":"article-journal","volume":"44"},"uris":["http://www.mendeley.com/documents/?uuid=510155f9-56e1-4e87-ae40-0ca73edc19ce"]},{"id":"ITEM-3","itemData":{"DOI":"10.1093/ndt/gfx240","ISSN":"14602385","PMID":"28992229","abstract":"Background. There is mixed evidence regarding the nature of cognitive function in patients who have undergone renal transplantation. The aim of this meta-analysis was to examine which cognitive domains are impacted following kidney transplantation and how performance compares with non-transplanted patients or healthy controls/normative data. Method. A systematic search was conducted using keywords within three databases (Embase, MEDLINE and PsychINFO), yielding 458 unique studies, 10 of which met the inclusion criteria. Neuropsychological tests were grouped into nine cognitive domains and three separate analyses were undertaken within each domain: (i) within subjects pre-versus post-transplant, (ii) transplanted versus non-transplanted patients and (iii) transplanted versus healthy matched controls and standardized normative data. Results. Transplanted patients showed moderate to large improvements in the domains of general cognitive status (g = 0.526), information and motor speed (g = 0.558), spatial reasoning (g = 0.376), verbal memory (g = 0.759) and visual memory (g = 0.690) when compared with their pre-operative scores. Test scores in the same five domains were significantly better in post-transplanted patients when compared with dialysis-dependant or conservatively managed chronic kidney disease patients. However, post-transplanted patients' performance was significantly low compared with that of healthy controls (and standardized normative data) in the domains of executive functioning (g =-0.283), verbal fluency (g =-0.657) and language (g =-0.573). Conclusions. Two key issues arise from this review. First, domain-specific cognitive improvement occurs in patients after successful transplantation. Nevertheless, transplanted patients still performed significantly below healthy controls in some domains. Second, there are important shortcomings in existing studies; the length of follow-up is typically short and only limited neuropsychological test batteries are employed. These factors are important in order to support the recovery of cognitive function among patients following renal transplant.","author":[{"dropping-particle":"","family":"Joshee","given":"Paras","non-dropping-particle":"","parse-names":false,"suffix":""},{"dropping-particle":"","family":"Wood","given":"Amanda G.","non-dropping-particle":"","parse-names":false,"suffix":""},{"dropping-particle":"","family":"Wood","given":"Eleri R.","non-dropping-particle":"","parse-names":false,"suffix":""},{"dropping-particle":"","family":"Grunfeld","given":"Elizabeth A.","non-dropping-particle":"","parse-names":false,"suffix":""}],"container-title":"Nephrology Dialysis Transplantation","id":"ITEM-3","issued":{"date-parts":[["2018"]]},"page":"1268-1277","title":"Meta-analysis of cognitive functioning in patients following kidney transplantation","type":"article-journal","volume":"33"},"uris":["http://www.mendeley.com/documents/?uuid=424e6d6d-f0bf-4941-8ab9-bd358bb5159d"]},{"id":"ITEM-4","itemData":{"DOI":"10.1681/ASN.2018010077","ISBN":"2018010077","ISSN":"15333450","author":[{"dropping-particle":"","family":"Wolfgram","given":"Dawn F.","non-dropping-particle":"","parse-names":false,"suffix":""}],"container-title":"Journal of the American Society of Nephrology","id":"ITEM-4","issued":{"date-parts":[["2018"]]},"page":"1087-1089","title":"Filtering the Evidence: Is There a Cognitive Cost of Hemodialysis?","type":"article-journal","volume":"29"},"uris":["http://www.mendeley.com/documents/?uuid=bc26f6cb-6dee-47ef-8bc6-1f0d249e1e55"]}],"mendeley":{"formattedCitation":"(Joshee et al., 2018; San et al., 2017; Shea et al., 2019; Wolfgram, 2018)","plainTextFormattedCitation":"(Joshee et al., 2018; San et al., 2017; Shea et al., 2019; Wolfgram, 2018)","previouslyFormattedCitation":"(Joshee et al., 2018; San et al., 2017; Shea et al., 2019; Wolfgram, 2018)"},"properties":{"noteIndex":0},"schema":"https://github.com/citation-style-language/schema/raw/master/csl-citation.json"}</w:instrText>
      </w:r>
      <w:r w:rsidRPr="00577052">
        <w:rPr>
          <w:rFonts w:ascii="Times New Roman" w:eastAsia="SimSun" w:hAnsi="Times New Roman" w:cs="Times New Roman"/>
          <w:color w:val="000000" w:themeColor="text1"/>
          <w:sz w:val="24"/>
          <w:szCs w:val="24"/>
          <w:lang w:val="en-GB" w:eastAsia="en-US"/>
        </w:rPr>
        <w:fldChar w:fldCharType="separate"/>
      </w:r>
      <w:r w:rsidR="007D6381" w:rsidRPr="007D6381">
        <w:rPr>
          <w:rFonts w:ascii="Times New Roman" w:eastAsia="SimSun" w:hAnsi="Times New Roman" w:cs="Times New Roman"/>
          <w:noProof/>
          <w:color w:val="000000" w:themeColor="text1"/>
          <w:sz w:val="24"/>
          <w:szCs w:val="24"/>
          <w:lang w:val="en-GB" w:eastAsia="en-US"/>
        </w:rPr>
        <w:t>(Joshee et al., 2018; San et al., 2017; Shea et al., 2019; Wolfgram, 2018)</w:t>
      </w:r>
      <w:r w:rsidRPr="00577052">
        <w:rPr>
          <w:rFonts w:ascii="Times New Roman" w:eastAsia="SimSun" w:hAnsi="Times New Roman" w:cs="Times New Roman"/>
          <w:color w:val="000000" w:themeColor="text1"/>
          <w:sz w:val="24"/>
          <w:szCs w:val="24"/>
          <w:lang w:val="en-GB" w:eastAsia="en-US"/>
        </w:rPr>
        <w:fldChar w:fldCharType="end"/>
      </w:r>
      <w:r w:rsidRPr="00577052">
        <w:rPr>
          <w:rFonts w:ascii="Times New Roman" w:eastAsia="SimSun" w:hAnsi="Times New Roman" w:cs="Times New Roman"/>
          <w:color w:val="000000" w:themeColor="text1"/>
          <w:sz w:val="24"/>
          <w:szCs w:val="24"/>
          <w:lang w:val="en-GB" w:eastAsia="en-US"/>
        </w:rPr>
        <w:t xml:space="preserve">. CIs </w:t>
      </w:r>
      <w:r w:rsidR="000C7391">
        <w:rPr>
          <w:rFonts w:ascii="Times New Roman" w:eastAsia="SimSun" w:hAnsi="Times New Roman" w:cs="Times New Roman"/>
          <w:color w:val="000000" w:themeColor="text1"/>
          <w:sz w:val="24"/>
          <w:szCs w:val="24"/>
          <w:lang w:val="en-GB" w:eastAsia="en-US"/>
        </w:rPr>
        <w:t>ha</w:t>
      </w:r>
      <w:r w:rsidR="003F10B6">
        <w:rPr>
          <w:rFonts w:ascii="Times New Roman" w:eastAsia="SimSun" w:hAnsi="Times New Roman" w:cs="Times New Roman"/>
          <w:color w:val="000000" w:themeColor="text1"/>
          <w:sz w:val="24"/>
          <w:szCs w:val="24"/>
          <w:lang w:val="en-GB" w:eastAsia="en-US"/>
        </w:rPr>
        <w:t>ve</w:t>
      </w:r>
      <w:r w:rsidR="000C7391">
        <w:rPr>
          <w:rFonts w:ascii="Times New Roman" w:eastAsia="SimSun" w:hAnsi="Times New Roman" w:cs="Times New Roman"/>
          <w:color w:val="000000" w:themeColor="text1"/>
          <w:sz w:val="24"/>
          <w:szCs w:val="24"/>
          <w:lang w:val="en-GB" w:eastAsia="en-US"/>
        </w:rPr>
        <w:t xml:space="preserve"> been found to be </w:t>
      </w:r>
      <w:r w:rsidR="000F59FB">
        <w:rPr>
          <w:rFonts w:ascii="Times New Roman" w:eastAsia="SimSun" w:hAnsi="Times New Roman" w:cs="Times New Roman"/>
          <w:color w:val="000000" w:themeColor="text1"/>
          <w:sz w:val="24"/>
          <w:szCs w:val="24"/>
          <w:lang w:val="en-GB" w:eastAsia="en-US"/>
        </w:rPr>
        <w:t xml:space="preserve">more </w:t>
      </w:r>
      <w:r w:rsidR="000C7391">
        <w:rPr>
          <w:rFonts w:ascii="Times New Roman" w:eastAsia="SimSun" w:hAnsi="Times New Roman" w:cs="Times New Roman"/>
          <w:color w:val="000000" w:themeColor="text1"/>
          <w:sz w:val="24"/>
          <w:szCs w:val="24"/>
          <w:lang w:val="en-GB" w:eastAsia="en-US"/>
        </w:rPr>
        <w:t xml:space="preserve">prevalent </w:t>
      </w:r>
      <w:r w:rsidRPr="00577052">
        <w:rPr>
          <w:rFonts w:ascii="Times New Roman" w:eastAsia="SimSun" w:hAnsi="Times New Roman" w:cs="Times New Roman"/>
          <w:color w:val="000000" w:themeColor="text1"/>
          <w:sz w:val="24"/>
          <w:szCs w:val="24"/>
          <w:lang w:val="en-GB" w:eastAsia="en-US"/>
        </w:rPr>
        <w:t xml:space="preserve">in </w:t>
      </w:r>
      <w:r w:rsidR="006D704E" w:rsidRPr="00577052">
        <w:rPr>
          <w:rFonts w:ascii="Times New Roman" w:eastAsia="SimSun" w:hAnsi="Times New Roman" w:cs="Times New Roman"/>
          <w:color w:val="000000" w:themeColor="text1"/>
          <w:sz w:val="24"/>
          <w:szCs w:val="24"/>
          <w:lang w:val="en-GB" w:eastAsia="en-US"/>
        </w:rPr>
        <w:t>haemodialysis (</w:t>
      </w:r>
      <w:r w:rsidRPr="00577052">
        <w:rPr>
          <w:rFonts w:ascii="Times New Roman" w:eastAsia="SimSun" w:hAnsi="Times New Roman" w:cs="Times New Roman"/>
          <w:color w:val="000000" w:themeColor="text1"/>
          <w:sz w:val="24"/>
          <w:szCs w:val="24"/>
          <w:lang w:val="en-GB" w:eastAsia="en-US"/>
        </w:rPr>
        <w:t>HD</w:t>
      </w:r>
      <w:r w:rsidR="006D704E" w:rsidRPr="00577052">
        <w:rPr>
          <w:rFonts w:ascii="Times New Roman" w:eastAsia="SimSun" w:hAnsi="Times New Roman" w:cs="Times New Roman"/>
          <w:color w:val="000000" w:themeColor="text1"/>
          <w:sz w:val="24"/>
          <w:szCs w:val="24"/>
          <w:lang w:val="en-GB" w:eastAsia="en-US"/>
        </w:rPr>
        <w:t>)</w:t>
      </w:r>
      <w:r w:rsidRPr="00577052">
        <w:rPr>
          <w:rFonts w:ascii="Times New Roman" w:eastAsia="SimSun" w:hAnsi="Times New Roman" w:cs="Times New Roman"/>
          <w:color w:val="000000" w:themeColor="text1"/>
          <w:sz w:val="24"/>
          <w:szCs w:val="24"/>
          <w:lang w:val="en-GB" w:eastAsia="en-US"/>
        </w:rPr>
        <w:t xml:space="preserve"> patients compared to the general population</w:t>
      </w:r>
      <w:r w:rsidRPr="00577052">
        <w:rPr>
          <w:rFonts w:ascii="Times New Roman" w:hAnsi="Times New Roman" w:cs="Times New Roman"/>
          <w:sz w:val="24"/>
          <w:szCs w:val="24"/>
        </w:rPr>
        <w:t xml:space="preserve"> </w:t>
      </w:r>
      <w:r w:rsidRPr="00577052">
        <w:rPr>
          <w:rFonts w:ascii="Times New Roman" w:hAnsi="Times New Roman" w:cs="Times New Roman"/>
          <w:sz w:val="24"/>
          <w:szCs w:val="24"/>
        </w:rPr>
        <w:fldChar w:fldCharType="begin" w:fldLock="1"/>
      </w:r>
      <w:r w:rsidR="00CC2D6A">
        <w:rPr>
          <w:rFonts w:ascii="Times New Roman" w:hAnsi="Times New Roman" w:cs="Times New Roman"/>
          <w:sz w:val="24"/>
          <w:szCs w:val="24"/>
        </w:rPr>
        <w:instrText>ADDIN CSL_CITATION {"citationItems":[{"id":"ITEM-1","itemData":{"DOI":"10.1053/j.ajkd.2015.12.028","ISSN":"15236838","abstract":"Background Cognitive impairment is associated with poorer quality of life, risk for hospitalization, and mortality. Cognitive impairment is common in people with end-stage kidney disease treated with hemodialysis, yet the severity and specific cognitive deficits are uncertain. Study Design Systematic review and meta-analysis. Setting &amp; Population Adults receiving hemodialysis compared with the general population, people with non-dialysis-dependent chronic kidney disease (NDD-CKD), people receiving peritoneal dialysis, or people with nondialyzed chronic kidney failure. Selection Criteria for Studies Randomized controlled trials, cohort or cross-sectional studies without language restriction. Index Tests Validated neuropsychological tests of cognition. Outcomes Cognitive test scores, aggregated by cognitive domain: orientation and attention, perception, memory, language, construction and motor performance, concept formation and reasoning, and executive functions. Results 42 studies of 3,522 participants. Studies were of high or uncertain risk of bias, assessed by the Newcastle-Ottawa Scale. People treated with hemodialysis had worse cognition than the general population, particularly in attention (n = 22; standardized mean difference [SMD], -0.93; 95% CI, -1.18 to -0.68). Hemodialysis patients performed better than nondialyzed patients with chronic kidney failure in attention (n = 6; SMD, 0.70; 95% CI, 0.45 to 0.96) and memory (n = 6; SMD, 0.36; 95% CI, 0.08 to 0.63), but had poorer memory than the general population (n = 16; SMD, -0.41; 95% CI, -0.91 to 0.09) and people with NDD-CKD (n = 5; SMD, -0.40; 95% CI, -0.60 to -0.21). There were insufficient data to show other differences among people receiving hemodialysis and those receiving peritoneal dialysis or with NDD-CKD. Limitations Potentially biased studies, not wholly adjusted for education. High heterogeneity, mainly due to the large variety of tests used to assess cognition. Conclusions People treated with hemodialysis have impaired cognitive function compared to the general population, particularly in the domains of orientation and attention and executive function. Cognitive deficits in specific domains should be further explored in this population and should be considered when approaching education and chronic disease management.","author":[{"dropping-particle":"","family":"O'Lone","given":"Emma","non-dropping-particle":"","parse-names":false,"suffix":""},{"dropping-particle":"","family":"Connors","given":"Michael","non-dropping-particle":"","parse-names":false,"suffix":""},{"dropping-particle":"","family":"Masson","given":"Philip","non-dropping-particle":"","parse-names":false,"suffix":""},{"dropping-particle":"","family":"Wu","given":"Sunny","non-dropping-particle":"","parse-names":false,"suffix":""},{"dropping-particle":"","family":"Kelly","given":"Patrick J.","non-dropping-particle":"","parse-names":false,"suffix":""},{"dropping-particle":"","family":"Gillespie","given":"David","non-dropping-particle":"","parse-names":false,"suffix":""},{"dropping-particle":"","family":"Parker","given":"Daniel","non-dropping-particle":"","parse-names":false,"suffix":""},{"dropping-particle":"","family":"Whiteley","given":"William","non-dropping-particle":"","parse-names":false,"suffix":""},{"dropping-particle":"","family":"Strippoli","given":"Giovanni F.M.","non-dropping-particle":"","parse-names":false,"suffix":""},{"dropping-particle":"","family":"Palmer","given":"Suetonia C.","non-dropping-particle":"","parse-names":false,"suffix":""},{"dropping-particle":"","family":"Craig","given":"Jonathan C.","non-dropping-particle":"","parse-names":false,"suffix":""},{"dropping-particle":"","family":"Webster","given":"Angela C.","non-dropping-particle":"","parse-names":false,"suffix":""}],"container-title":"American Journal of Kidney Diseases","id":"ITEM-1","issue":"6","issued":{"date-parts":[["2016"]]},"page":"925-935","publisher":"Elsevier Inc","title":"Cognition in people with end-stage kidney disease treated with hemodialysis: A systematic review and meta-analysis","type":"article-journal","volume":"67"},"uris":["http://www.mendeley.com/documents/?uuid=e63ae242-c0c7-4fe8-afb0-1f7650ccf5ad"]},{"id":"ITEM-2","itemData":{"DOI":"10.1159/000479679","ISSN":"14219824","abstract":"Background: Cognitive impairment in end-stage kidney disease patients on dialysis is increasingly common. This study aimed to review the practice of screening and to evaluate the evidence on cognitive impairment prevalence in this population. Methods: This scoping review of studies summarises the evidence on cognitive impairment in dialysis populations. The search included the Medline, CINAHL, Embase, PsycINFO, PubMed, and Cochrane Library databases for English-language articles published between 2000 and 2015. A total of 46 articles were reviewed. Results: The studies were of prospective observational design, with the majority conducted in the haemodialysis population. The reported prevalence of cognitive impairment ranged from 6.6 to 51%. Three screening tools were consistently used. Conclusion: While cognitive impairment is recognised in the dialysis population, there is paucity of screening data. The design of prospective comparisons ideally includes established screening instruments, particularly the Montreal Cognitive Assessment, to determine the optimal results for this population. Translation of established screening tools to increase the inclusion of people from other cultural and language groups is required. Regular screening can enhance the timing to introduce home-based care support and advance care planning discussions.","author":[{"dropping-particle":"","family":"San","given":"Aye","non-dropping-particle":"","parse-names":false,"suffix":""},{"dropping-particle":"","family":"Hiremagalur","given":"Balaji","non-dropping-particle":"","parse-names":false,"suffix":""},{"dropping-particle":"","family":"Muircroft","given":"Wendy","non-dropping-particle":"","parse-names":false,"suffix":""},{"dropping-particle":"","family":"Grealish","given":"Laurie","non-dropping-particle":"","parse-names":false,"suffix":""}],"container-title":"Dementia and Geriatric Cognitive Disorders","id":"ITEM-2","issued":{"date-parts":[["2017"]]},"page":"182-195","title":"Screening of Cognitive Impairment in the Dialysis Population: A Scoping Review","type":"article-journal","volume":"44"},"uris":["http://www.mendeley.com/documents/?uuid=510155f9-56e1-4e87-ae40-0ca73edc19ce"]}],"mendeley":{"formattedCitation":"(O’Lone et al., 2016; San et al., 2017)","plainTextFormattedCitation":"(O’Lone et al., 2016; San et al., 2017)","previouslyFormattedCitation":"(O’Lone et al., 2016; San et al., 2017)"},"properties":{"noteIndex":0},"schema":"https://github.com/citation-style-language/schema/raw/master/csl-citation.json"}</w:instrText>
      </w:r>
      <w:r w:rsidRPr="00577052">
        <w:rPr>
          <w:rFonts w:ascii="Times New Roman" w:hAnsi="Times New Roman" w:cs="Times New Roman"/>
          <w:sz w:val="24"/>
          <w:szCs w:val="24"/>
        </w:rPr>
        <w:fldChar w:fldCharType="separate"/>
      </w:r>
      <w:r w:rsidR="007D6381" w:rsidRPr="007D6381">
        <w:rPr>
          <w:rFonts w:ascii="Times New Roman" w:hAnsi="Times New Roman" w:cs="Times New Roman"/>
          <w:noProof/>
          <w:sz w:val="24"/>
          <w:szCs w:val="24"/>
        </w:rPr>
        <w:t>(O’Lone et al., 2016; San et al., 2017)</w:t>
      </w:r>
      <w:r w:rsidRPr="00577052">
        <w:rPr>
          <w:rFonts w:ascii="Times New Roman" w:hAnsi="Times New Roman" w:cs="Times New Roman"/>
          <w:sz w:val="24"/>
          <w:szCs w:val="24"/>
        </w:rPr>
        <w:fldChar w:fldCharType="end"/>
      </w:r>
      <w:r w:rsidR="003667B1">
        <w:rPr>
          <w:rFonts w:ascii="Times New Roman" w:hAnsi="Times New Roman" w:cs="Times New Roman"/>
          <w:sz w:val="24"/>
          <w:szCs w:val="24"/>
        </w:rPr>
        <w:t xml:space="preserve"> and </w:t>
      </w:r>
      <w:r w:rsidRPr="00577052">
        <w:rPr>
          <w:rFonts w:ascii="Times New Roman" w:hAnsi="Times New Roman" w:cs="Times New Roman"/>
          <w:sz w:val="24"/>
          <w:szCs w:val="24"/>
        </w:rPr>
        <w:t xml:space="preserve">are </w:t>
      </w:r>
      <w:r w:rsidR="00DA1179" w:rsidRPr="00577052">
        <w:rPr>
          <w:rFonts w:ascii="Times New Roman" w:hAnsi="Times New Roman" w:cs="Times New Roman"/>
          <w:sz w:val="24"/>
          <w:szCs w:val="24"/>
        </w:rPr>
        <w:t xml:space="preserve">also </w:t>
      </w:r>
      <w:r w:rsidRPr="00577052">
        <w:rPr>
          <w:rFonts w:ascii="Times New Roman" w:hAnsi="Times New Roman" w:cs="Times New Roman"/>
          <w:sz w:val="24"/>
          <w:szCs w:val="24"/>
        </w:rPr>
        <w:t xml:space="preserve">associated with increased risks of functional disability, hospitalisation, mortality, and dialysis withdrawal </w:t>
      </w:r>
      <w:r w:rsidRPr="00577052">
        <w:rPr>
          <w:rFonts w:ascii="Times New Roman" w:hAnsi="Times New Roman" w:cs="Times New Roman"/>
          <w:color w:val="000000" w:themeColor="text1"/>
          <w:sz w:val="24"/>
          <w:szCs w:val="24"/>
        </w:rPr>
        <w:fldChar w:fldCharType="begin" w:fldLock="1"/>
      </w:r>
      <w:r w:rsidR="00CC2D6A">
        <w:rPr>
          <w:rFonts w:ascii="Times New Roman" w:hAnsi="Times New Roman" w:cs="Times New Roman"/>
          <w:color w:val="000000" w:themeColor="text1"/>
          <w:sz w:val="24"/>
          <w:szCs w:val="24"/>
        </w:rPr>
        <w:instrText>ADDIN CSL_CITATION {"citationItems":[{"id":"ITEM-1","itemData":{"DOI":"10.1053/j.ajkd.2010.07.003","ISSN":"02726386","abstract":"Background: Although dementia has predicted mortality in large dialysis cohorts, little is known about the relationship between less pronounced cognitive deficits and mortality in patients with end-stage renal disease. This study assessed whether cognitive impairment without dementia was an independent predictor of 7-year survival in dialysis patients after controlling for other risk factors. Study Design Prospective single-cohort study. Setting &amp; Participants 145 prevalent dialysis patients from 2 units in London, UK, were followed up for 64.3 ± 27.4 months and censored at the time of change to a different treatment. Predictors Cognitive impairment, defined as performance 1 standard deviation less than normative values on 2 or more cognitive tests within a neurocognitive battery assessing attention/concentration, memory, and psychomotor function domains. Depression, quality-of-life, and clinical measures also were obtained. Outcomes &amp; Measurements All-cause mortality was the primary outcome. Cox proportional hazard models were used to assess the contribution of demographics and clinical and psychological measures and cognitive impairment to mortality. Results 98 (67.6%) patients were cognitively impaired at baseline. At follow-up, 56 (38.6%) patients had died, 29 of cardiac causes. Unadjusted Kaplan-Meier analysis showed higher mortality in cognitively impaired patients, in whom 7-year survival was 49% versus 83.2% in those with no cognitive impairment (P &lt; 0.001). Mortality risk associated with cognitive impairment remained significant in adjusted analysis controlling for sociodemographic, clinical, and psychological factors (adjusted HR, 2.53; 95% CI, 1.03-6.22; P = 0.04). Limitations Small sample size and number of events. Conclusions Cognitive impairment is an independent predictor of mortality in dialysis patients. Although the implications of early recognition and treatment of cognitive impairment for clinical outcomes are unclear, these results suggest that patient management protocols should attempt to ensure prevention of cognitive decline in addition to managing coexisting medical conditions. © 2010 National Kidney Foundation, Inc.","author":[{"dropping-particle":"","family":"Griva","given":"Konstadina","non-dropping-particle":"","parse-names":false,"suffix":""},{"dropping-particle":"","family":"Stygall","given":"Jan","non-dropping-particle":"","parse-names":false,"suffix":""},{"dropping-particle":"","family":"Hankins","given":"Matthew","non-dropping-particle":"","parse-names":false,"suffix":""},{"dropping-particle":"","family":"Davenport","given":"Andrew","non-dropping-particle":"","parse-names":false,"suffix":""},{"dropping-particle":"","family":"Harrison","given":"Michael","non-dropping-particle":"","parse-names":false,"suffix":""},{"dropping-particle":"","family":"Newman","given":"Stanton P.","non-dropping-particle":"","parse-names":false,"suffix":""}],"container-title":"American Journal of Kidney Diseases","id":"ITEM-1","issue":"4","issued":{"date-parts":[["2010"]]},"page":"693-703","publisher":"Elsevier Inc.","title":"Cognitive Impairment and 7-Year Mortality in Dialysis Patients","type":"article-journal","volume":"56"},"uris":["http://www.mendeley.com/documents/?uuid=4d6c9bf5-8091-4b79-b145-63d7c4910f27"]},{"id":"ITEM-2","itemData":{"DOI":"10.2215/CJN.13611215","ISSN":"1555905X","PMID":"27342598","abstract":"Background and objectives Older patients reaching ESRD have a higher risk of adverse health outcomes. We aimed to determine the association of functional and cognitive impairment and frailty with adverse health outcomes in patients reaching ESRD. Understanding these associations could ultimately lead to prediction models to guide tailored treatment decisions or preventive interventions. Design, setting, participants, &amp; measurements We searched MEDLINE, Embase, Web of Science, CENTRAL, CINAHL, PsycINFO, and COCHRANE for original studies published until February 8, 2016 reporting on the association of functional or cognitive impairment or frailty with adverse health outcome after follow-up in patients reaching ESRD either with or without RRT. Results Of 7451 identified citations, we included 30 articles that reported on 35 associations. Mean age was.60 years old in 73% of the studies, and geriatric conditions were highly prevalent. Twenty-four studies (80%) reported on functional impairment, seven (23%) reported on cognitive impairment, and four (13%) reported on frailty. Mortality was the main outcome measure in 29 studies (97%), and one study assessed functional status trajectory. In 34 of 35 (97%) associations reported, functional or cognitive impairment or frailty was significantly and independently associated with adverse health outcomes. The majority of studies (83%) were conducted in selected patient populations, mainly patients on incident dialysis. Conclusions Functional and cognitive impairment and frailty in patients reaching ESRDare highly prevalent and strongly and independently associated with adverse health outcomes, and theymay, therefore, be useful for risk stratification. More research into their prognostic value is needed.","author":[{"dropping-particle":"","family":"Kallenberg","given":"Marije H.","non-dropping-particle":"","parse-names":false,"suffix":""},{"dropping-particle":"","family":"Kleinveld","given":"Hilda A.","non-dropping-particle":"","parse-names":false,"suffix":""},{"dropping-particle":"","family":"Dekker","given":"Friedo W.","non-dropping-particle":"","parse-names":false,"suffix":""},{"dropping-particle":"","family":"Munster","given":"Barbara C.","non-dropping-particle":"van","parse-names":false,"suffix":""},{"dropping-particle":"","family":"Rabelink","given":"Ton J.","non-dropping-particle":"","parse-names":false,"suffix":""},{"dropping-particle":"","family":"Buren","given":"Marjolijn","non-dropping-particle":"van","parse-names":false,"suffix":""},{"dropping-particle":"","family":"Mooijaart","given":"Simon P.","non-dropping-particle":"","parse-names":false,"suffix":""}],"container-title":"Clinical Journal of the American Society of Nephrology","id":"ITEM-2","issued":{"date-parts":[["2016"]]},"page":"1624-1639","title":"Functional and cognitive impairment, frailty, and adverse health outcomes in older patients reaching ESRD-a systematic review","type":"article-journal","volume":"11"},"uris":["http://www.mendeley.com/documents/?uuid=8937d30e-c909-44ab-8f27-93022ef4a2a3"]},{"id":"ITEM-3","itemData":{"abstract":"The heavy burden of cognitive impairment in hemodialysis and chronic kidney disease patients has only recently become recognized. Up to 70 percent of hemodialysis patients ages 55 years and older have moderate to severe chronic cognitive impairment, yet it is largely undiagnosed. Recent studies describe the strong graded relation between estimated glomerular filtration rate (eGFR) and cognitive function in CKD patients. The process of conventional hemodialysis may induce recurrent episodes of acute cerebral ischemia, which in turn may contribute to acute decline in cognitive function during dialysis. Thus the worst time to communicate with dialysis patients may be during the hemodialysis session. Both symptomatic and occult, subclinical ischemic cerebrovascular disease appear to play a large role in a proposed model of accelerated vascular cognitive impairment in these populations. Severe cognitive impairment or dementia among hemodialysis patients is associated with an approximately two-fold increased risk of both mortality and dialysis withdrawal. Pre-dialysis cognitive screening and adding dementia to the list of comorbidities on Form 2728 would provide critical information regarding the benefit versus risks of receiving dialysis. It could also improve quality of care and outcomes by raising clinician’s awareness of the potential effects of cognitive impairment on medication, fluid, and dietary compliance, and ability to make advance directive decisions among dialysis patients. While much remains to be learned regarding the pathophysiology of cognitive impairment in kidney disease, the public health implications of this substantial burden are immediate.","author":[{"dropping-particle":"","family":"Murray","given":"Anne M.","non-dropping-particle":"","parse-names":false,"suffix":""}],"container-title":"Advances in Chronic Kidney Disease","id":"ITEM-3","issue":"2","issued":{"date-parts":[["2008"]]},"page":"123-132","title":"Cognitive Impairment in the Aging Dialysis and Chronic Kidney Disease Populations: an Occult Burden","type":"article-journal","volume":"15"},"uris":["http://www.mendeley.com/documents/?uuid=953241da-8b33-4f1e-b74a-0ff1a7e8fbe8"]}],"mendeley":{"formattedCitation":"(Griva et al., 2010; Kallenberg et al., 2016; Murray, 2008)","plainTextFormattedCitation":"(Griva et al., 2010; Kallenberg et al., 2016; Murray, 2008)","previouslyFormattedCitation":"(Griva et al., 2010; Kallenberg et al., 2016; Murray, 2008)"},"properties":{"noteIndex":0},"schema":"https://github.com/citation-style-language/schema/raw/master/csl-citation.json"}</w:instrText>
      </w:r>
      <w:r w:rsidRPr="00577052">
        <w:rPr>
          <w:rFonts w:ascii="Times New Roman" w:hAnsi="Times New Roman" w:cs="Times New Roman"/>
          <w:color w:val="000000" w:themeColor="text1"/>
          <w:sz w:val="24"/>
          <w:szCs w:val="24"/>
        </w:rPr>
        <w:fldChar w:fldCharType="separate"/>
      </w:r>
      <w:r w:rsidR="007D6381" w:rsidRPr="007D6381">
        <w:rPr>
          <w:rFonts w:ascii="Times New Roman" w:hAnsi="Times New Roman" w:cs="Times New Roman"/>
          <w:noProof/>
          <w:color w:val="000000" w:themeColor="text1"/>
          <w:sz w:val="24"/>
          <w:szCs w:val="24"/>
        </w:rPr>
        <w:t>(Griva et al., 2010; Kallenberg et al., 2016; Murray, 2008)</w:t>
      </w:r>
      <w:r w:rsidRPr="00577052">
        <w:rPr>
          <w:rFonts w:ascii="Times New Roman" w:hAnsi="Times New Roman" w:cs="Times New Roman"/>
          <w:color w:val="000000" w:themeColor="text1"/>
          <w:sz w:val="24"/>
          <w:szCs w:val="24"/>
        </w:rPr>
        <w:fldChar w:fldCharType="end"/>
      </w:r>
      <w:r w:rsidRPr="00577052">
        <w:rPr>
          <w:rFonts w:ascii="Times New Roman" w:hAnsi="Times New Roman" w:cs="Times New Roman"/>
          <w:color w:val="000000" w:themeColor="text1"/>
          <w:sz w:val="24"/>
          <w:szCs w:val="24"/>
        </w:rPr>
        <w:t xml:space="preserve">. These </w:t>
      </w:r>
      <w:r w:rsidR="0067059F" w:rsidRPr="00577052">
        <w:rPr>
          <w:rFonts w:ascii="Times New Roman" w:hAnsi="Times New Roman" w:cs="Times New Roman"/>
          <w:color w:val="000000" w:themeColor="text1"/>
          <w:sz w:val="24"/>
          <w:szCs w:val="24"/>
        </w:rPr>
        <w:t>associations</w:t>
      </w:r>
      <w:r w:rsidRPr="00577052">
        <w:rPr>
          <w:rFonts w:ascii="Times New Roman" w:hAnsi="Times New Roman" w:cs="Times New Roman"/>
          <w:color w:val="000000" w:themeColor="text1"/>
          <w:sz w:val="24"/>
          <w:szCs w:val="24"/>
        </w:rPr>
        <w:t xml:space="preserve"> </w:t>
      </w:r>
      <w:r w:rsidR="005E2FA3" w:rsidRPr="00577052">
        <w:rPr>
          <w:rFonts w:ascii="Times New Roman" w:hAnsi="Times New Roman" w:cs="Times New Roman"/>
          <w:color w:val="000000" w:themeColor="text1"/>
          <w:sz w:val="24"/>
          <w:szCs w:val="24"/>
        </w:rPr>
        <w:t xml:space="preserve">are </w:t>
      </w:r>
      <w:r w:rsidR="0067059F" w:rsidRPr="00577052">
        <w:rPr>
          <w:rFonts w:ascii="Times New Roman" w:hAnsi="Times New Roman" w:cs="Times New Roman"/>
          <w:color w:val="000000" w:themeColor="text1"/>
          <w:sz w:val="24"/>
          <w:szCs w:val="24"/>
        </w:rPr>
        <w:t xml:space="preserve">usually </w:t>
      </w:r>
      <w:r w:rsidR="00412777">
        <w:rPr>
          <w:rFonts w:ascii="Times New Roman" w:hAnsi="Times New Roman" w:cs="Times New Roman"/>
          <w:color w:val="000000" w:themeColor="text1"/>
          <w:sz w:val="24"/>
          <w:szCs w:val="24"/>
        </w:rPr>
        <w:t>thought</w:t>
      </w:r>
      <w:r w:rsidR="005E2FA3" w:rsidRPr="00577052">
        <w:rPr>
          <w:rFonts w:ascii="Times New Roman" w:hAnsi="Times New Roman" w:cs="Times New Roman"/>
          <w:color w:val="000000" w:themeColor="text1"/>
          <w:sz w:val="24"/>
          <w:szCs w:val="24"/>
        </w:rPr>
        <w:t xml:space="preserve"> to be</w:t>
      </w:r>
      <w:r w:rsidRPr="00577052">
        <w:rPr>
          <w:rFonts w:ascii="Times New Roman" w:hAnsi="Times New Roman" w:cs="Times New Roman"/>
          <w:color w:val="000000" w:themeColor="text1"/>
          <w:sz w:val="24"/>
          <w:szCs w:val="24"/>
        </w:rPr>
        <w:t xml:space="preserve"> due to CIs interfering with self-management capabilities</w:t>
      </w:r>
      <w:r w:rsidRPr="00577052">
        <w:rPr>
          <w:rFonts w:ascii="Times New Roman" w:hAnsi="Times New Roman" w:cs="Times New Roman"/>
          <w:color w:val="000000" w:themeColor="text1"/>
          <w:sz w:val="24"/>
          <w:szCs w:val="24"/>
          <w:lang w:val="en-GB"/>
        </w:rPr>
        <w:t xml:space="preserve">, </w:t>
      </w:r>
      <w:r w:rsidRPr="00577052">
        <w:rPr>
          <w:rFonts w:ascii="Times New Roman" w:hAnsi="Times New Roman" w:cs="Times New Roman"/>
          <w:color w:val="000000" w:themeColor="text1"/>
          <w:sz w:val="24"/>
          <w:szCs w:val="24"/>
        </w:rPr>
        <w:t xml:space="preserve">adherence behaviours, and decision-making processes </w:t>
      </w:r>
      <w:r w:rsidRPr="00577052">
        <w:rPr>
          <w:rFonts w:ascii="Times New Roman" w:hAnsi="Times New Roman" w:cs="Times New Roman"/>
          <w:sz w:val="24"/>
          <w:szCs w:val="24"/>
        </w:rPr>
        <w:fldChar w:fldCharType="begin" w:fldLock="1"/>
      </w:r>
      <w:r w:rsidR="00CC2D6A">
        <w:rPr>
          <w:rFonts w:ascii="Times New Roman" w:hAnsi="Times New Roman" w:cs="Times New Roman"/>
          <w:sz w:val="24"/>
          <w:szCs w:val="24"/>
        </w:rPr>
        <w:instrText>ADDIN CSL_CITATION {"citationItems":[{"id":"ITEM-1","itemData":{"DOI":"10.1097/md.0000000000014390","ISBN":"0000000000","ISSN":"0025-7974","abstract":"BACKGROUNDS Cognitive functions (CF) decline has been reported in end-stage renal disease (ESRD) patients. However, the influence of dialysis modalities on CF has not been investigated systematically. METHODS A systematic literature search was conducted in MEDLINE, Embase, Cochrane library and unpublished database Clinicaltrials.gov to identify the studies comparing the cognitive functions or risk of dementia between hemodialysis (HD) and peritoneal dialysis (PD). After data extraction, quality of studies was assessed using the Newcastle-Ottawa scale. Both qualitative and quantitative analyses were performed. RESULTS After study inclusion, totally 15 cohort or cross-sectional studies were included, comparing the cognitive functions using neuropsychological tests and covering the executive function, memory, orientation, attention, etc. By qualitative analysis, it showed that more studies are inclined to PD compared with HD with better cognitive functions. By quantitative analysis, it showed that PD showed better performance in the tests of Mini-Mental State Examination (MMSE), Montreal Cognitive Assessment (MoCA), stroop interference test and exhibited lower risk of dementia compared with HD. CONCLUSIONS In this meta-analysis, we draw preliminary conclusion that patients treated with PD had better cognitive functions and lower dementia risk compared with patients with HD. Still more large-scale and well-conducted prospective cohort studies are needed to draw more convincing conclusions.","author":[{"dropping-particle":"","family":"Tian","given":"Xiaolin","non-dropping-particle":"","parse-names":false,"suffix":""},{"dropping-particle":"","family":"Guo","given":"Xiaokun","non-dropping-particle":"","parse-names":false,"suffix":""},{"dropping-particle":"","family":"Xia","given":"Xiaoshuang","non-dropping-particle":"","parse-names":false,"suffix":""},{"dropping-particle":"","family":"Yu","given":"Haibo","non-dropping-particle":"","parse-names":false,"suffix":""},{"dropping-particle":"","family":"Li","given":"Xin","non-dropping-particle":"","parse-names":false,"suffix":""},{"dropping-particle":"","family":"Jiang","given":"Aili","non-dropping-particle":"","parse-names":false,"suffix":""}],"container-title":"Medicine","id":"ITEM-1","issue":"6","issued":{"date-parts":[["2019"]]},"page":"e14390","title":"The comparison of cognitive function and risk of dementia in CKD patients under peritoneal dialysis and hemodialysis: A PRISMA-compliant systematic review and meta-analysis","type":"article-journal","volume":"98"},"uris":["http://www.mendeley.com/documents/?uuid=9ea66937-796e-4695-9f75-c55f14906e34"]},{"id":"ITEM-2","itemData":{"DOI":"10.1093/ckj/sfw128","ISSN":"20488513","abstract":"Background: Cognitive impairment commonly affects renal patients. But little is known about the influence of dialysis modality on cognitive trends or the influence of cognitive impairment on decision-making in renal patients. This study evaluated cognitive trends amongst chronic kidney disease (CKD), haemodialysis (HD) and peritoneal dialysis (PD) patients. The relationship between cognitive impairment and decision-making capacity (DMC) was also assessed. Methods: Patients were recruited from three outpatient clinics. Cognitive function was assessed 4-monthly for up to 2 years, using the Montreal Cognitive Assessment (MoCA) tool. Cognitive trends were assessed using mixed model analysis. DMC was assessed using the Macarthur Competency Assessment tool (MacCAT-T). MacCAT-T scores were compared between patients with cognitive impairment (MoCA&lt;26) and those without. Results: In total, 102 (41HD, 25 PD and 36 CKD) patients were recruited into the prospective study. Aftermultivariate analysis, the total MoCA scores declined faster in dialysis compared with CKD patients [coefficient=-0.03, 95% confidence interval (95% CI)=-0.056 to-0.004; P =0.025]. The MoCA executive scores declined faster in the HD compared with PD patients (coefficient =-0.12, 95% CI=-0.233 to-0.007; P=0.037). DMC was assessed in 10 patients. Those with cognitive impairment had lower MacCAT-T compared with those without [median (interquartile range) 19 (17.9-19.6) versus 17.4 (16.3-18.4); P=0.049]. Conclusions: Cognition declines faster in dialysis patients compared with CKD patients and in HD patients compared with PD patients. Cognitive impairment affects DMC in patients with advanced kidney disease.","author":[{"dropping-particle":"","family":"Iyasere","given":"Osasuyi","non-dropping-particle":"","parse-names":false,"suffix":""},{"dropping-particle":"","family":"Okai","given":"David","non-dropping-particle":"","parse-names":false,"suffix":""},{"dropping-particle":"","family":"Brown","given":"Edwina","non-dropping-particle":"","parse-names":false,"suffix":""}],"container-title":"Clinical Kidney Journal","id":"ITEM-2","issue":"1","issued":{"date-parts":[["2017"]]},"page":"89-94","title":"Cognitive function and advanced kidney disease: longitudinal trends and impact on decision-making","type":"article-journal","volume":"10"},"uris":["http://www.mendeley.com/documents/?uuid=2adfa909-4234-4fd9-9e85-f04f098fcb15"]},{"id":"ITEM-3","itemData":{"DOI":"10.1186/s12916-016-0745-9","ISSN":"17417015","abstract":"Background: Cognitive impairment is common in people with chronic kidney disease (CKD) and associated with increased morbidity and mortality. Subtle changes can impact engagement with healthcare, comprehension, decision-making, and medication adherence. We aimed to systematically summarise evidence of cognitive changes in CKD. Methods: We searched MEDLINE (March 2016) for cross-sectional, cohort or randomised studies that measured cognitive function in people with CKD (PROSPERO, registration number CRD42014015226). The CKD population included people with eGFR&lt;60mL/min/1.73m2, not receiving renal replacement therapy, in any research setting. We conducted a meta-analysis using random effects, expressed as standardised mean differences (SMD) with 95% confidence intervals (CI). Outcomes were performance in eight cognitive domains. Bias was assessed with the Newcastle-Ottawa Scale (NOS). Results: We identified 44 studies reporting sufficient data for synthesis (51,575 participants). Mean NOS score for cohort studies was 5.8/9 and for cross-sectional 5.4/10. Studies were deficient in NOS outcome and selection due to poor methods reporting and in comparison group validity of demographics and chronic disease status. CKD patients (eGFR&lt;6</w:instrText>
      </w:r>
      <w:r w:rsidR="00CC2D6A">
        <w:rPr>
          <w:rFonts w:ascii="Times New Roman" w:hAnsi="Times New Roman" w:cs="Times New Roman" w:hint="eastAsia"/>
          <w:sz w:val="24"/>
          <w:szCs w:val="24"/>
        </w:rPr>
        <w:instrText>0mL/min/1.73m2) performed worse than control groups (eGFR</w:instrText>
      </w:r>
      <w:r w:rsidR="00CC2D6A">
        <w:rPr>
          <w:rFonts w:ascii="Times New Roman" w:hAnsi="Times New Roman" w:cs="Times New Roman" w:hint="eastAsia"/>
          <w:sz w:val="24"/>
          <w:szCs w:val="24"/>
        </w:rPr>
        <w:instrText>≥</w:instrText>
      </w:r>
      <w:r w:rsidR="00CC2D6A">
        <w:rPr>
          <w:rFonts w:ascii="Times New Roman" w:hAnsi="Times New Roman" w:cs="Times New Roman" w:hint="eastAsia"/>
          <w:sz w:val="24"/>
          <w:szCs w:val="24"/>
        </w:rPr>
        <w:instrText>60mL/min/1.73m2) on Orientation &amp; Attention (SMD -0.79, 95% CI, -1.44 to -0.13), Language (SMD -0.63, 95% CI, -0.85 to -0.41), Concept Formation &amp; Reasoning (SMD -0.63, 95% CI, -1.07 to -0.18), Exe</w:instrText>
      </w:r>
      <w:r w:rsidR="00CC2D6A">
        <w:rPr>
          <w:rFonts w:ascii="Times New Roman" w:hAnsi="Times New Roman" w:cs="Times New Roman"/>
          <w:sz w:val="24"/>
          <w:szCs w:val="24"/>
        </w:rPr>
        <w:instrText>cutive Function (SMD -0.53, 95% CI, -0.85 to -0.21), Memory (SMD -0.48, 95% CI, -0.79 to -0.18), and Global Cognition (SMD -0.48, 95% CI, -0.72 to -0.24). Construction &amp; Motor Praxis and Perception were unaffected (SMD -0.29, 95% CI, -0.90 to 0.32; SMD -1.12, 95% CI, -4.35 to 2.12). Language scores dropped with eGFR (&lt;45mL/min/1.73m2 SMD -0.86, 95% CI, -1.25 to -46; 30mL/min/1.73m2 SMD -1.56, 95% CI, -2.27 to -0.84). Differences in Orientation &amp; Attention were greatest at eGFR&lt;45mL/min/1.73m2 (SMD -4.62, 95% CI, -4.68 to -4.55). Concept Formation &amp; Reasoning differences were greatest at eGFR&lt;45mL/min/1.73m2 (SMD -4.27, 95% CI, -4.23 to -4.27). Differences in Executive Functions were greatest at eGFR&lt;30mL/min/1.73m2 (SMD -0.54, 95% CI, -1.00 to -0.08). Conclusions: Cognitive changes occur early in CKD, and skills decline at different rates. Orientation &amp; Attention and Language are particularly affected. The cognitive impact of CKD is likely to diminish patients' capacity to engage…","author":[{"dropping-particle":"","family":"Berger","given":"Israel","non-dropping-particle":"","parse-names":false,"suffix":""},{"dropping-particle":"","family":"Wu","given":"Sunny","non-dropping-particle":"","parse-names":false,"suffix":""},{"dropping-particle":"","family":"Masson","given":"Philip","non-dropping-particle":"","parse-names":false,"suffix":""},{"dropping-particle":"","family":"Kelly","given":"Patrick J.","non-dropping-particle":"","parse-names":false,"suffix":""},{"dropping-particle":"","family":"Duthie","given":"Fiona A.","non-dropping-particle":"","parse-names":false,"suffix":""},{"dropping-particle":"","family":"Whiteley","given":"William","non-dropping-particle":"","parse-names":false,"suffix":""},{"dropping-particle":"","family":"Parker","given":"Daniel","non-dropping-particle":"","parse-names":false,"suffix":""},{"dropping-particle":"","family":"Gillespie","given":"David","non-dropping-particle":"","parse-names":false,"suffix":""},{"dropping-particle":"","family":"Webster","given":"Angela C.","non-dropping-particle":"","parse-names":false,"suffix":""}],"container-title":"BMC Medicine","id":"ITEM-3","issued":{"date-parts":[["2016"]]},"page":"206","publisher":"BMC Medicine","title":"Cognition in chronic kidney disease: A systematic review and meta-analysis","type":"article-journal","volume":"14"},"uris":["http://www.mendeley.com/documents/?uuid=0c57d68d-df61-466f-8cef-e6490436d6ab"]}],"mendeley":{"formattedCitation":"(Berger et al., 2016; Iyasere et al., 2017; Tian et al., 2019)","plainTextFormattedCitation":"(Berger et al., 2016; Iyasere et al., 2017; Tian et al., 2019)","previouslyFormattedCitation":"(Berger et al., 2016; Iyasere et al., 2017; Tian et al., 2019)"},"properties":{"noteIndex":0},"schema":"https://github.com/citation-style-language/schema/raw/master/csl-citation.json"}</w:instrText>
      </w:r>
      <w:r w:rsidRPr="00577052">
        <w:rPr>
          <w:rFonts w:ascii="Times New Roman" w:hAnsi="Times New Roman" w:cs="Times New Roman"/>
          <w:sz w:val="24"/>
          <w:szCs w:val="24"/>
        </w:rPr>
        <w:fldChar w:fldCharType="separate"/>
      </w:r>
      <w:r w:rsidR="007D6381" w:rsidRPr="007D6381">
        <w:rPr>
          <w:rFonts w:ascii="Times New Roman" w:hAnsi="Times New Roman" w:cs="Times New Roman"/>
          <w:noProof/>
          <w:sz w:val="24"/>
          <w:szCs w:val="24"/>
        </w:rPr>
        <w:t>(Berger et al., 2016; Iyasere et al., 2017; Tian et al., 2019)</w:t>
      </w:r>
      <w:r w:rsidRPr="00577052">
        <w:rPr>
          <w:rFonts w:ascii="Times New Roman" w:hAnsi="Times New Roman" w:cs="Times New Roman"/>
          <w:sz w:val="24"/>
          <w:szCs w:val="24"/>
        </w:rPr>
        <w:fldChar w:fldCharType="end"/>
      </w:r>
      <w:r w:rsidRPr="00577052">
        <w:rPr>
          <w:rFonts w:ascii="Times New Roman" w:hAnsi="Times New Roman" w:cs="Times New Roman"/>
          <w:sz w:val="24"/>
          <w:szCs w:val="24"/>
        </w:rPr>
        <w:t xml:space="preserve">, however </w:t>
      </w:r>
      <w:r w:rsidR="001F4B7F" w:rsidRPr="00577052">
        <w:rPr>
          <w:rFonts w:ascii="Times New Roman" w:hAnsi="Times New Roman" w:cs="Times New Roman"/>
          <w:sz w:val="24"/>
          <w:szCs w:val="24"/>
        </w:rPr>
        <w:t xml:space="preserve">evidence </w:t>
      </w:r>
      <w:r w:rsidR="00517D6D" w:rsidRPr="00577052">
        <w:rPr>
          <w:rFonts w:ascii="Times New Roman" w:hAnsi="Times New Roman" w:cs="Times New Roman"/>
          <w:sz w:val="24"/>
          <w:szCs w:val="24"/>
        </w:rPr>
        <w:t>is scarce</w:t>
      </w:r>
      <w:r w:rsidR="005E2FA3" w:rsidRPr="00577052">
        <w:rPr>
          <w:rFonts w:ascii="Times New Roman" w:hAnsi="Times New Roman" w:cs="Times New Roman"/>
          <w:sz w:val="24"/>
          <w:szCs w:val="24"/>
        </w:rPr>
        <w:t>.</w:t>
      </w:r>
    </w:p>
    <w:p w14:paraId="3E320225" w14:textId="0939819B" w:rsidR="00BD585D" w:rsidRPr="00F113F7" w:rsidRDefault="00C6186C" w:rsidP="00E84C4E">
      <w:pPr>
        <w:pStyle w:val="CommentText"/>
        <w:spacing w:line="480" w:lineRule="auto"/>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Although CIs in ESRD patients have been extensively researched in the past decades, </w:t>
      </w:r>
      <w:r w:rsidRPr="00577052">
        <w:rPr>
          <w:rFonts w:ascii="Times New Roman" w:hAnsi="Times New Roman" w:cs="Times New Roman"/>
          <w:color w:val="000000" w:themeColor="text1"/>
          <w:sz w:val="24"/>
          <w:szCs w:val="24"/>
        </w:rPr>
        <w:t xml:space="preserve">our understanding of the practical implications of CIs in this population is still limited. </w:t>
      </w:r>
      <w:r w:rsidR="00463967" w:rsidRPr="00577052">
        <w:rPr>
          <w:rFonts w:ascii="Times New Roman" w:hAnsi="Times New Roman" w:cs="Times New Roman"/>
          <w:sz w:val="24"/>
          <w:szCs w:val="24"/>
        </w:rPr>
        <w:t xml:space="preserve">Most prior work </w:t>
      </w:r>
      <w:r w:rsidR="00771A80">
        <w:rPr>
          <w:rFonts w:ascii="Times New Roman" w:hAnsi="Times New Roman" w:cs="Times New Roman"/>
          <w:sz w:val="24"/>
          <w:szCs w:val="24"/>
        </w:rPr>
        <w:t>relied on standardised</w:t>
      </w:r>
      <w:r w:rsidR="008D1706" w:rsidRPr="00577052">
        <w:rPr>
          <w:rFonts w:ascii="Times New Roman" w:hAnsi="Times New Roman" w:cs="Times New Roman"/>
          <w:sz w:val="24"/>
          <w:szCs w:val="24"/>
        </w:rPr>
        <w:t xml:space="preserve"> neuropsychological tests </w:t>
      </w:r>
      <w:r w:rsidR="008D1706" w:rsidRPr="00577052">
        <w:rPr>
          <w:rFonts w:ascii="Times New Roman" w:hAnsi="Times New Roman" w:cs="Times New Roman"/>
          <w:color w:val="000000" w:themeColor="text1"/>
          <w:sz w:val="24"/>
          <w:szCs w:val="24"/>
        </w:rPr>
        <w:fldChar w:fldCharType="begin" w:fldLock="1"/>
      </w:r>
      <w:r w:rsidR="00CC2D6A">
        <w:rPr>
          <w:rFonts w:ascii="Times New Roman" w:hAnsi="Times New Roman" w:cs="Times New Roman"/>
          <w:color w:val="000000" w:themeColor="text1"/>
          <w:sz w:val="24"/>
          <w:szCs w:val="24"/>
        </w:rPr>
        <w:instrText>ADDIN CSL_CITATION {"citationItems":[{"id":"ITEM-1","itemData":{"DOI":"10.1186/s12916-016-0745-9","ISSN":"17417015","abstract":"Background: Cognitive impairment is common in people with chronic kidney disease (CKD) and associated with increased morbidity and mortality. Subtle changes can impact engagement with healthcare, comprehension, decision-making, and medication adherence. We aimed to systematically summarise evidence of cognitive changes in CKD. Methods: We searched MEDLINE (March 2016) for cross-sectional, cohort or randomised studies that measured cognitive function in people with CKD (PROSPERO, registration number CRD42014015226). The CKD population included people with eGFR&lt;60mL/min/1.73m2, not receiving renal replacement therapy, in any research setting. We conducted a meta-analysis using random effects, expressed as standardised mean differences (SMD) with 95% confidence intervals (CI). Outcomes were performance in eight cognitive domains. Bias was assessed with the Newcastle-Ottawa Scale (NOS). Results: We identified 44 studies reporting sufficient data for synthesis (51,575 participants). Mean NOS score for cohort studies was 5.8/9 and for cross-sectional 5.4/10. Studies were deficient in NOS outcome and selection due to poor methods report</w:instrText>
      </w:r>
      <w:r w:rsidR="00CC2D6A">
        <w:rPr>
          <w:rFonts w:ascii="Times New Roman" w:hAnsi="Times New Roman" w:cs="Times New Roman" w:hint="eastAsia"/>
          <w:color w:val="000000" w:themeColor="text1"/>
          <w:sz w:val="24"/>
          <w:szCs w:val="24"/>
        </w:rPr>
        <w:instrText>ing and in comparison group validity of demographics and chronic disease status. CKD patients (eGFR&lt;60mL/min/1.73m2) performed worse than control groups (eGFR</w:instrText>
      </w:r>
      <w:r w:rsidR="00CC2D6A">
        <w:rPr>
          <w:rFonts w:ascii="Times New Roman" w:hAnsi="Times New Roman" w:cs="Times New Roman" w:hint="eastAsia"/>
          <w:color w:val="000000" w:themeColor="text1"/>
          <w:sz w:val="24"/>
          <w:szCs w:val="24"/>
        </w:rPr>
        <w:instrText>≥</w:instrText>
      </w:r>
      <w:r w:rsidR="00CC2D6A">
        <w:rPr>
          <w:rFonts w:ascii="Times New Roman" w:hAnsi="Times New Roman" w:cs="Times New Roman" w:hint="eastAsia"/>
          <w:color w:val="000000" w:themeColor="text1"/>
          <w:sz w:val="24"/>
          <w:szCs w:val="24"/>
        </w:rPr>
        <w:instrText>60mL/min/1.73m2) on Orientation &amp; Attention (SMD -0.79, 95% CI, -1.44 to -0.13), Language (SMD -</w:instrText>
      </w:r>
      <w:r w:rsidR="00CC2D6A">
        <w:rPr>
          <w:rFonts w:ascii="Times New Roman" w:hAnsi="Times New Roman" w:cs="Times New Roman"/>
          <w:color w:val="000000" w:themeColor="text1"/>
          <w:sz w:val="24"/>
          <w:szCs w:val="24"/>
        </w:rPr>
        <w:instrText>0.63, 95% CI, -0.85 to -0.41), Concept Formation &amp; Reasoning (SMD -0.63, 95% CI, -1.07 to -0.18), Executive Function (SMD -0.53, 95% CI, -0.85 to -0.21), Memory (SMD -0.48, 95% CI, -0.79 to -0.18), and Global Cognition (SMD -0.48, 95% CI, -0.72 to -0.24). Construction &amp; Motor Praxis and Perception were unaffected (SMD -0.29, 95% CI, -0.90 to 0.32; SMD -1.12, 95% CI, -4.35 to 2.12). Language scores dropped with eGFR (&lt;45mL/min/1.73m2 SMD -0.86, 95% CI, -1.25 to -46; 30mL/min/1.73m2 SMD -1.56, 95% CI, -2.27 to -0.84). Differences in Orientation &amp; Attention were greatest at eGFR&lt;45mL/min/1.73m2 (SMD -4.62, 95% CI, -4.68 to -4.55). Concept Formation &amp; Reasoning differences were greatest at eGFR&lt;45mL/min/1.73m2 (SMD -4.27, 95% CI, -4.23 to -4.27). Differences in Executive Functions were greatest at eGFR&lt;30mL/min/1.73m2 (SMD -0.54, 95% CI, -1.00 to -0.08). Conclusions: Cognitive changes occur early in CKD, and skills decline at different rates. Orientation &amp; Attention and Language are particularly affected. The cognitive impact of CKD is likely to diminish patients' capacity to engage…","author":[{"dropping-particle":"","family":"Berger","given":"Israel","non-dropping-particle":"","parse-names":false,"suffix":""},{"dropping-particle":"","family":"Wu","given":"Sunny","non-dropping-particle":"","parse-names":false,"suffix":""},{"dropping-particle":"","family":"Masson","given":"Philip","non-dropping-particle":"","parse-names":false,"suffix":""},{"dropping-particle":"","family":"Kelly","given":"Patrick J.","non-dropping-particle":"","parse-names":false,"suffix":""},{"dropping-particle":"","family":"Duthie","given":"Fiona A.","non-dropping-particle":"","parse-names":false,"suffix":""},{"dropping-particle":"","family":"Whiteley","given":"William","non-dropping-particle":"","parse-names":false,"suffix":""},{"dropping-particle":"","family":"Parker","given":"Daniel","non-dropping-particle":"","parse-names":false,"suffix":""},{"dropping-particle":"","family":"Gillespie","given":"David","non-dropping-particle":"","parse-names":false,"suffix":""},{"dropping-particle":"","family":"Webster","given":"Angela C.","non-dropping-particle":"","parse-names":false,"suffix":""}],"container-title":"BMC Medicine","id":"ITEM-1","issued":{"date-parts":[["2016"]]},"page":"206","publisher":"BMC Medicine","title":"Cognition in chronic kidney disease: A systematic review and meta-analysis","type":"article-journal","volume":"14"},"uris":["http://www.mendeley.com/documents/?uuid=0c57d68d-df61-466f-8cef-e6490436d6ab"]},{"id":"ITEM-2","itemData":{"DOI":"10.1007/s10157-019-01762-1","ISBN":"0123456789","ISSN":"14377799","abstract":"Background: Cognitive impairment (CI) is common among patients on peritoneal dialysis (PD), but it is under-recognized and systematic review on its prevalence and impact across different geographical locations or patient characteristics is lacking. Methods: A search of the literature on CI in PD patients published between 1 Jan 1980 and 25.April 2019 was conducted. Meta-analysis using a random effects model was performed to determine the pooled estimate of the prevalence of CI. Meta-regression was performed to identify factors contributing to the variance of prevalence rate. A systematic review was also performed to study risk factors of CI and its impact on clinical outcomes. Results: Eight studies were included and the relevant data from 1736 patients were extracted for analysis. Meta-analysis revealed a pooled prevalence of CI at 28.7% (95% CI 15.9–46%). Meta-regression analyses showed that the prevalence of CI was unrelated to patient’s age, gender, duration of PD, healthcare policy of dialysis modality, the prospective or retrospective nature of studies, or year of publication. Systematic review of 20 studies showed that older age, female sex and lower education were risk factors for CI. Potential reversible factors for CI include electrolytes disturbances, depression and vitamin D deficiency. Also, CI was associated with a higher risk of hospitalization, mostly due to PD-related peritonitis. Conclusions: CI is common in patients on long-term PD. Screening for CI should be considered in PD patients with increased risk.","author":[{"dropping-particle":"","family":"Shea","given":"Yat fung","non-dropping-particle":"","parse-names":false,"suffix":""},{"dropping-particle":"","family":"Lee","given":"Mi suen Connie","non-dropping-particle":"","parse-names":false,"suffix":""},{"dropping-particle":"","family":"Mok","given":"Ming yee Maggie","non-dropping-particle":"","parse-names":false,"suffix":""},{"dropping-particle":"","family":"Chan","given":"Felix Hon wai","non-dropping-particle":"","parse-names":false,"suffix":""},{"dropping-particle":"","family":"Chan","given":"Tak Mao","non-dropping-particle":"","parse-names":false,"suffix":""}],"container-title":"Clinical and Experimental Nephrology","id":"ITEM-2","issued":{"date-parts":[["2019"]]},"page":"1221-1234","publisher":"Springer Singapore","title":"Prevalence of cognitive impairment among peritoneal dialysis patients: a systematic review and meta-analysis","type":"article-journal","volume":"23"},"uris":["http://www.mendeley.com/documents/?uuid=5fcb2d67-fd30-40c1-bcf9-afabf49f0332"]},{"id":"ITEM-3","itemData":{"DOI":"10.1111/nep.13448","ISSN":"14401797","abstract":"Cognitive dysfunction is reportedly highly prevalent among chronic kidney disease (CKD) patients. A variety of screening tools and neuropsychiatric batteries are used to quantify the magnitude and nature of this dysfunction. Our objective is to summarize the neurocognitive testing used, and determine what degree cognitive dysfunction is reported in CKD patients. All study designs published in English that contained participants who were either pre-dialysis patients, haemodialysis (HD) or peritoneal dialysis (PD) patients or renal transplant recipients were considered. Reported comparative non-CKD control data was also collected. All study designs were included. The search period encompassed articles from 1980 to May 2018. This review is registered with PROSPERO (CRD42018096568). Of the 1711 articles screened, 148 articles were relevant and used in the meta-analysis. Commonly used assessments were The Mini–Mental State Examination (MMSE), The Modified Mini–Mental State Examination, the Trails Making Tests (TMT) forms A and B and components of the Wechsler Adult Intelligence Scale: Digit Span and Digit Symbol. Means for all assessments were adjusted using a random effects model to account for the differences in variance. Adjusted mean MMSE scores were significantly lower for both pre-dialysis (26.08, n = 17 073) and HD (26.31, n = 3314) patients when compared to non-CKD controls (28.21, n = 5226). PD (58.01 s, n = 859) and HD (56.04 s, n = 2344) patients also took significantly longer to complete the Trails Making Task A than non-CKD controls (37.62 s, n = 4809). Patients with CKD, especially pre-dialysis and those requiring dialysis, are likely to exhibit impairments in cognition that can be identified with specific screening neuropsychological assessments.","author":[{"dropping-particle":"","family":"Vanderlinden","given":"Jessica A.","non-dropping-particle":"","parse-names":false,"suffix":""},{"dropping-particle":"","family":"Ross-White","given":"Amanda","non-dropping-particle":"","parse-names":false,"suffix":""},{"dropping-particle":"","family":"Holden","given":"Rachel","non-dropping-particle":"","parse-names":false,"suffix":""},{"dropping-particle":"","family":"Shamseddin","given":"M. Khaled","non-dropping-particle":"","parse-names":false,"suffix":""},{"dropping-particle":"","family":"Day","given":"Andrew","non-dropping-particle":"","parse-names":false,"suffix":""},{"dropping-particle":"","family":"Boyd","given":"J. Gordon","non-dropping-particle":"","parse-names":false,"suffix":""}],"container-title":"Nephrology","id":"ITEM-3","issued":{"date-parts":[["2019"]]},"page":"5-16","title":"Quantifying cognitive dysfunction across the spectrum of end-stage kidney disease: A systematic review and meta-analysis","type":"article-journal","volume":"24"},"uris":["http://www.mendeley.com/documents/?uuid=98df5964-c803-43fe-b6ae-067f55da7be1"]},{"id":"ITEM-4","itemData":{"DOI":"10.1097/md.0000000000014390","ISBN":"0000000000","ISSN":"0025-7974","abstract":"BACKGROUNDS Cognitive functions (CF) decline has been reported in end-stage renal disease (ESRD) patients. However, the influence of dialysis modalities on CF has not been investigated systematically. METHODS A systematic literature search was conducted in MEDLINE, Embase, Cochrane library and unpublished database Clinicaltrials.gov to identify the studies comparing the cognitive functions or risk of dementia between hemodialysis (HD) and peritoneal dialysis (PD). After data extraction, quality of studies was assessed using the Newcastle-Ottawa scale. Both qualitative and quantitative analyses were performed. RESULTS After study inclusion, totally 15 cohort or cross-sectional studies were included, comparing the cognitive functions using neuropsychological tests and covering the executive function, memory, orientation, attention, etc. By qualitative analysis, it showed that more studies are inclined to PD compared with HD with better cognitive functions. By quantitative analysis, it showed that PD showed better performance in the tests of Mini-Mental State Examination (MMSE), Montreal Cognitive Assessment (MoCA), stroop interference test and exhibited lower risk of dementia compared with HD. CONCLUSIONS In this meta-analysis, we draw preliminary conclusion that patients treated with PD had better cognitive functions and lower dementia risk compared with patients with HD. Still more large-scale and well-conducted prospective cohort studies are needed to draw more convincing conclusions.","author":[{"dropping-particle":"","family":"Tian","given":"Xiaolin","non-dropping-particle":"","parse-names":false,"suffix":""},{"dropping-particle":"","family":"Guo","given":"Xiaokun","non-dropping-particle":"","parse-names":false,"suffix":""},{"dropping-particle":"","family":"Xia","given":"Xiaoshuang","non-dropping-particle":"","parse-names":false,"suffix":""},{"dropping-particle":"","family":"Yu","given":"Haibo","non-dropping-particle":"","parse-names":false,"suffix":""},{"dropping-particle":"","family":"Li","given":"Xin","non-dropping-particle":"","parse-names":false,"suffix":""},{"dropping-particle":"","family":"Jiang","given":"Aili","non-dropping-particle":"","parse-names":false,"suffix":""}],"container-title":"Medicine","id":"ITEM-4","issue":"6","issued":{"date-parts":[["2019"]]},"page":"e14390","title":"The comparison of cognitive function and risk of dementia in CKD patients under peritoneal dialysis and hemodialysis: A PRISMA-compliant systematic review and meta-analysis","type":"article-journal","volume":"98"},"uris":["http://www.mendeley.com/documents/?uuid=9ea66937-796e-4695-9f75-c55f14906e34"]}],"mendeley":{"formattedCitation":"(Berger et al., 2016; Shea et al., 2019; Tian et al., 2019; Vanderlinden et al., 2019)","plainTextFormattedCitation":"(Berger et al., 2016; Shea et al., 2019; Tian et al., 2019; Vanderlinden et al., 2019)","previouslyFormattedCitation":"(Berger et al., 2016; Shea et al., 2019; Tian et al., 2019; Vanderlinden et al., 2019)"},"properties":{"noteIndex":0},"schema":"https://github.com/citation-style-language/schema/raw/master/csl-citation.json"}</w:instrText>
      </w:r>
      <w:r w:rsidR="008D1706" w:rsidRPr="00577052">
        <w:rPr>
          <w:rFonts w:ascii="Times New Roman" w:hAnsi="Times New Roman" w:cs="Times New Roman"/>
          <w:color w:val="000000" w:themeColor="text1"/>
          <w:sz w:val="24"/>
          <w:szCs w:val="24"/>
        </w:rPr>
        <w:fldChar w:fldCharType="separate"/>
      </w:r>
      <w:r w:rsidR="007D6381" w:rsidRPr="007D6381">
        <w:rPr>
          <w:rFonts w:ascii="Times New Roman" w:hAnsi="Times New Roman" w:cs="Times New Roman"/>
          <w:noProof/>
          <w:color w:val="000000" w:themeColor="text1"/>
          <w:sz w:val="24"/>
          <w:szCs w:val="24"/>
        </w:rPr>
        <w:t>(Berger et al., 2016; Shea et al., 2019; Tian et al., 2019; Vanderlinden et al., 2019)</w:t>
      </w:r>
      <w:r w:rsidR="008D1706" w:rsidRPr="00577052">
        <w:rPr>
          <w:rFonts w:ascii="Times New Roman" w:hAnsi="Times New Roman" w:cs="Times New Roman"/>
          <w:color w:val="000000" w:themeColor="text1"/>
          <w:sz w:val="24"/>
          <w:szCs w:val="24"/>
        </w:rPr>
        <w:fldChar w:fldCharType="end"/>
      </w:r>
      <w:r w:rsidR="00771A80">
        <w:rPr>
          <w:rFonts w:ascii="Times New Roman" w:hAnsi="Times New Roman" w:cs="Times New Roman"/>
          <w:color w:val="000000" w:themeColor="text1"/>
          <w:sz w:val="24"/>
          <w:szCs w:val="24"/>
        </w:rPr>
        <w:t xml:space="preserve">, which </w:t>
      </w:r>
      <w:r w:rsidR="00BA6D7B">
        <w:rPr>
          <w:rFonts w:ascii="Times New Roman" w:hAnsi="Times New Roman" w:cs="Times New Roman"/>
          <w:color w:val="000000" w:themeColor="text1"/>
          <w:sz w:val="24"/>
          <w:szCs w:val="24"/>
        </w:rPr>
        <w:t>albeit</w:t>
      </w:r>
      <w:r w:rsidR="00E01FC8" w:rsidRPr="00577052">
        <w:rPr>
          <w:rFonts w:ascii="Times New Roman" w:hAnsi="Times New Roman" w:cs="Times New Roman"/>
          <w:color w:val="000000" w:themeColor="text1"/>
          <w:sz w:val="24"/>
          <w:szCs w:val="24"/>
        </w:rPr>
        <w:t xml:space="preserve"> sensitive in detecting CIs,</w:t>
      </w:r>
      <w:r w:rsidR="00BA6D7B">
        <w:rPr>
          <w:rFonts w:ascii="Times New Roman" w:hAnsi="Times New Roman" w:cs="Times New Roman"/>
          <w:color w:val="000000" w:themeColor="text1"/>
          <w:sz w:val="24"/>
          <w:szCs w:val="24"/>
        </w:rPr>
        <w:t xml:space="preserve"> are considered to be less reflective of </w:t>
      </w:r>
      <w:r w:rsidR="00DD297A" w:rsidRPr="00577052">
        <w:rPr>
          <w:rFonts w:ascii="Times New Roman" w:hAnsi="Times New Roman" w:cs="Times New Roman"/>
          <w:color w:val="000000" w:themeColor="text1"/>
          <w:sz w:val="24"/>
          <w:szCs w:val="24"/>
        </w:rPr>
        <w:t>patients’</w:t>
      </w:r>
      <w:r w:rsidR="00605C05">
        <w:rPr>
          <w:rFonts w:ascii="Times New Roman" w:hAnsi="Times New Roman" w:cs="Times New Roman"/>
          <w:color w:val="000000" w:themeColor="text1"/>
          <w:sz w:val="24"/>
          <w:szCs w:val="24"/>
        </w:rPr>
        <w:t xml:space="preserve"> self-</w:t>
      </w:r>
      <w:r w:rsidR="00DD297A" w:rsidRPr="00577052">
        <w:rPr>
          <w:rFonts w:ascii="Times New Roman" w:hAnsi="Times New Roman" w:cs="Times New Roman"/>
          <w:color w:val="000000" w:themeColor="text1"/>
          <w:sz w:val="24"/>
          <w:szCs w:val="24"/>
        </w:rPr>
        <w:t xml:space="preserve">experienced </w:t>
      </w:r>
      <w:r w:rsidR="000F038D">
        <w:rPr>
          <w:rFonts w:ascii="Times New Roman" w:hAnsi="Times New Roman" w:cs="Times New Roman"/>
          <w:color w:val="000000" w:themeColor="text1"/>
          <w:sz w:val="24"/>
          <w:szCs w:val="24"/>
        </w:rPr>
        <w:t xml:space="preserve">cognitive </w:t>
      </w:r>
      <w:r w:rsidR="00DD297A" w:rsidRPr="00577052">
        <w:rPr>
          <w:rFonts w:ascii="Times New Roman" w:hAnsi="Times New Roman" w:cs="Times New Roman"/>
          <w:color w:val="000000" w:themeColor="text1"/>
          <w:sz w:val="24"/>
          <w:szCs w:val="24"/>
        </w:rPr>
        <w:t xml:space="preserve">difficulties in everyday </w:t>
      </w:r>
      <w:r w:rsidR="00DD297A" w:rsidRPr="00577052">
        <w:rPr>
          <w:rFonts w:ascii="Times New Roman" w:hAnsi="Times New Roman" w:cs="Times New Roman"/>
          <w:color w:val="000000" w:themeColor="text1"/>
          <w:sz w:val="24"/>
          <w:szCs w:val="24"/>
        </w:rPr>
        <w:lastRenderedPageBreak/>
        <w:t xml:space="preserve">activities </w:t>
      </w:r>
      <w:r w:rsidR="00DD297A" w:rsidRPr="00577052">
        <w:rPr>
          <w:rFonts w:ascii="Times New Roman" w:hAnsi="Times New Roman" w:cs="Times New Roman"/>
          <w:color w:val="000000" w:themeColor="text1"/>
          <w:sz w:val="24"/>
          <w:szCs w:val="24"/>
        </w:rPr>
        <w:fldChar w:fldCharType="begin" w:fldLock="1"/>
      </w:r>
      <w:r w:rsidR="00CC2D6A">
        <w:rPr>
          <w:rFonts w:ascii="Times New Roman" w:hAnsi="Times New Roman" w:cs="Times New Roman"/>
          <w:color w:val="000000" w:themeColor="text1"/>
          <w:sz w:val="24"/>
          <w:szCs w:val="24"/>
        </w:rPr>
        <w:instrText>ADDIN CSL_CITATION {"citationItems":[{"id":"ITEM-1","itemData":{"DOI":"10.1111/hdi.12202","ISSN":"15424758","PMID":"25110172","abstract":"Subjective cognitive impairment negatively affects daily functioning, health-related quality of life, and health care consumption, and is predictive of future cognitive decline in many patient populations. However, no subjective measures of multidimensional cognitive functioning have been evaluated for dialysis patients. Our purposes were to examine (1) the association between patient-reported (subjective) cognitive functioning and objective cognitive functioning and (2) the relationships between subjective and objective cognitive functioning and everyday functioning of dialysis patients. We used baseline data from an ongoing longitudinal observational study of trajectories in dialysis patients' multidimensional quality of life. One hundred thirty-five patients completed a telephone-based neuropsychological battery (Brief Test of Adult Cognition by Telephone, a measure of objective cognitive functioning), a measure of subjective cognitive functioning (Patient's Assessment of Own Functioning Inventory), and measures of everyday functioning (Activities of Daily Living [ADL] and Instrumental Activities of Daily Living [IADL] scales). After controlling for age and education, there was a modest correlation (r=0.33, P&gt;0.001) between subjective and objective cognitive functioning. Multivariate logistic regression models showed subjective, but not objective, cognitive functioning was a significant predictor of both ADLs and IADLs. The findings suggest the potential clinical value of subjective measures of cognitive functioning, not to replace objective measures or diagnostic tests, but rather to optimize the meaningfulness of clinical assessment and management.","author":[{"dropping-particle":"","family":"Song","given":"Mi-Kyung","non-dropping-particle":"","parse-names":false,"suffix":""},{"dropping-particle":"","family":"Ward","given":"Sandra E.","non-dropping-particle":"","parse-names":false,"suffix":""},{"dropping-particle":"","family":"Bair","given":"Eric","non-dropping-particle":"","parse-names":false,"suffix":""},{"dropping-particle":"","family":"Weiner","given":"Lia J.","non-dropping-particle":"","parse-names":false,"suffix":""},{"dropping-particle":"","family":"Bridgman","given":"Jessica C.","non-dropping-particle":"","parse-names":false,"suffix":""},{"dropping-particle":"","family":"Hladik","given":"Gerald A.","non-dropping-particle":"","parse-names":false,"suffix":""},{"dropping-particle":"","family":"Gilet","given":"Constance A.","non-dropping-particle":"","parse-names":false,"suffix":""}],"container-title":"Hemodialysis International","id":"ITEM-1","issued":{"date-parts":[["2015"]]},"page":"90-99","title":"Patient-reported cognitive functioning and daily functioning in chronic dialysis patients","type":"article-journal","volume":"19"},"uris":["http://www.mendeley.com/documents/?uuid=0ef1978e-c906-4945-84e5-de9ac6c64cff"]},{"id":"ITEM-2","itemData":{"DOI":"10.1037/0882-7974.20.1.85","ISSN":"08827974","PMID":"15769216","abstract":"The authors report a meta-analysis of age differences in everyday problem-solving/decision-making effectiveness (EPSE). Effect sizes were calculated to reflect 3 age group comparisons: old versus young, young versus middle-aged, and middle-aged versus old. Findings from the meta-analysis of 28 separate studies with an aggregate of 4,482 participants do not support theories of preserved EPSE in late adulthood. Although significant age differences of moderate magnitude persisted across methodological and theoretical domains, rating criteria (experimenter vs. participant) emerged as a significant moderator of the effect magnitude and direction. In addition, EPSE in older adults was bolstered when problem content was interpersonal and when samples were highly educated. Finally, the current results support the conceptual integration of findings from the everyday problem-solving and everyday decision-making literatures. Copyright 2005 by the American Psychological Association.","author":[{"dropping-particle":"","family":"Thornton","given":"Wendy Loken","non-dropping-particle":"","parse-names":false,"suffix":""},{"dropping-particle":"","family":"Dumke","given":"Heike A.","non-dropping-particle":"","parse-names":false,"suffix":""}],"container-title":"Psychology and Aging","id":"ITEM-2","issue":"1","issued":{"date-parts":[["2005"]]},"page":"85-99","title":"Age differences in everyday problem-solving and decision-making effectiveness: A meta-analytic review","type":"article-journal","volume":"20"},"uris":["http://www.mendeley.com/documents/?uuid=0e860a7b-478e-4ede-91a3-a586622d98d0"]},{"id":"ITEM-3","itemData":{"DOI":"10.1093/ageing/afr104","ISSN":"00020729","PMID":"21893502","abstract":"Background: the issue of safety of the cognitively impaired elderly people living alone has been continuously raised. Traditional psychometric measures of cognitive abilities may not adequately reflect older adults' functioning in a real everyday context. Objectives: to conduct a systematic review on instruments available for evaluating the everyday problem-solving or everyday competence of the elderly with cognitive impairment and to critically review the measurement properties of the identified instruments. Methods: we searched the databases such as Cinahl, Medline, PsycINFO, AARP Ageline, ProQuest and the Cochrane Library for the time period between January 1995 and December 2010. Reference lists of the included papers were also manually searched. Results: five instruments were included. All the instruments focused their framework on Instrumental Activities of Daily Living (IADL) domains which meet well with suggestions from other studies on the importance of IADL in determining an elderly individual's capability to live independently in the community. No available instruments for the moderate to severe impairment group were identified under this review. Conclusions: few existing instruments to assess the ability of everyday problem-solving of the elderly with cognitive impairment can be identified in the literature. Further research validating them against functional, real-world outcomes is needed. © The Author 2011. Published by Oxford University Press on behalf of the British Geriatrics Society. All rights reserved.","author":[{"dropping-particle":"","family":"Law","given":"Lawla L.F.","non-dropping-particle":"","parse-names":false,"suffix":""},{"dropping-particle":"","family":"Barnett","given":"Fiona","non-dropping-particle":"","parse-names":false,"suffix":""},{"dropping-particle":"","family":"Yau","given":"Matthew K.","non-dropping-particle":"","parse-names":false,"suffix":""},{"dropping-particle":"","family":"Gray","given":"Marion A.","non-dropping-particle":"","parse-names":false,"suffix":""}],"container-title":"Age and Ageing","id":"ITEM-3","issued":{"date-parts":[["2012"]]},"page":"9-16","title":"Measures of everyday competence in older adults with cognitive impairment: a systematic review","type":"article-journal","volume":"41"},"uris":["http://www.mendeley.com/documents/?uuid=55f8cb27-e55e-44e1-9f6a-208bc46f620b"]}],"mendeley":{"formattedCitation":"(Law et al., 2012; Song et al., 2015; Thornton &amp; Dumke, 2005)","plainTextFormattedCitation":"(Law et al., 2012; Song et al., 2015; Thornton &amp; Dumke, 2005)","previouslyFormattedCitation":"(Law et al., 2012; Song et al., 2015; Thornton &amp; Dumke, 2005)"},"properties":{"noteIndex":0},"schema":"https://github.com/citation-style-language/schema/raw/master/csl-citation.json"}</w:instrText>
      </w:r>
      <w:r w:rsidR="00DD297A" w:rsidRPr="00577052">
        <w:rPr>
          <w:rFonts w:ascii="Times New Roman" w:hAnsi="Times New Roman" w:cs="Times New Roman"/>
          <w:color w:val="000000" w:themeColor="text1"/>
          <w:sz w:val="24"/>
          <w:szCs w:val="24"/>
        </w:rPr>
        <w:fldChar w:fldCharType="separate"/>
      </w:r>
      <w:r w:rsidR="007D6381" w:rsidRPr="007D6381">
        <w:rPr>
          <w:rFonts w:ascii="Times New Roman" w:hAnsi="Times New Roman" w:cs="Times New Roman"/>
          <w:noProof/>
          <w:color w:val="000000" w:themeColor="text1"/>
          <w:sz w:val="24"/>
          <w:szCs w:val="24"/>
        </w:rPr>
        <w:t>(Law et al., 2012; Song et al., 2015; Thornton &amp; Dumke, 2005)</w:t>
      </w:r>
      <w:r w:rsidR="00DD297A" w:rsidRPr="00577052">
        <w:rPr>
          <w:rFonts w:ascii="Times New Roman" w:hAnsi="Times New Roman" w:cs="Times New Roman"/>
          <w:color w:val="000000" w:themeColor="text1"/>
          <w:sz w:val="24"/>
          <w:szCs w:val="24"/>
        </w:rPr>
        <w:fldChar w:fldCharType="end"/>
      </w:r>
      <w:r w:rsidR="00DD297A" w:rsidRPr="00577052">
        <w:rPr>
          <w:rFonts w:ascii="Times New Roman" w:hAnsi="Times New Roman" w:cs="Times New Roman"/>
          <w:color w:val="000000" w:themeColor="text1"/>
          <w:sz w:val="24"/>
          <w:szCs w:val="24"/>
        </w:rPr>
        <w:t xml:space="preserve">. </w:t>
      </w:r>
      <w:r w:rsidR="008B20B9">
        <w:rPr>
          <w:rFonts w:ascii="Times New Roman" w:hAnsi="Times New Roman" w:cs="Times New Roman"/>
          <w:color w:val="000000" w:themeColor="text1"/>
          <w:sz w:val="24"/>
          <w:szCs w:val="24"/>
        </w:rPr>
        <w:t xml:space="preserve">Some patients </w:t>
      </w:r>
      <w:r w:rsidR="00F2747F">
        <w:rPr>
          <w:rFonts w:ascii="Times New Roman" w:hAnsi="Times New Roman" w:cs="Times New Roman"/>
          <w:color w:val="000000" w:themeColor="text1"/>
          <w:sz w:val="24"/>
          <w:szCs w:val="24"/>
        </w:rPr>
        <w:t>may perform within</w:t>
      </w:r>
      <w:r w:rsidR="00DF0705">
        <w:rPr>
          <w:rFonts w:ascii="Times New Roman" w:hAnsi="Times New Roman" w:cs="Times New Roman"/>
          <w:color w:val="000000" w:themeColor="text1"/>
          <w:sz w:val="24"/>
          <w:szCs w:val="24"/>
        </w:rPr>
        <w:t xml:space="preserve"> the</w:t>
      </w:r>
      <w:r w:rsidR="00F2747F">
        <w:rPr>
          <w:rFonts w:ascii="Times New Roman" w:hAnsi="Times New Roman" w:cs="Times New Roman"/>
          <w:color w:val="000000" w:themeColor="text1"/>
          <w:sz w:val="24"/>
          <w:szCs w:val="24"/>
        </w:rPr>
        <w:t xml:space="preserve"> normal </w:t>
      </w:r>
      <w:r w:rsidR="00DF0705">
        <w:rPr>
          <w:rFonts w:ascii="Times New Roman" w:hAnsi="Times New Roman" w:cs="Times New Roman"/>
          <w:color w:val="000000" w:themeColor="text1"/>
          <w:sz w:val="24"/>
          <w:szCs w:val="24"/>
        </w:rPr>
        <w:t>range</w:t>
      </w:r>
      <w:r w:rsidR="00F2747F">
        <w:rPr>
          <w:rFonts w:ascii="Times New Roman" w:hAnsi="Times New Roman" w:cs="Times New Roman"/>
          <w:color w:val="000000" w:themeColor="text1"/>
          <w:sz w:val="24"/>
          <w:szCs w:val="24"/>
        </w:rPr>
        <w:t xml:space="preserve"> </w:t>
      </w:r>
      <w:r w:rsidR="008B20B9">
        <w:rPr>
          <w:rFonts w:ascii="Times New Roman" w:hAnsi="Times New Roman" w:cs="Times New Roman"/>
          <w:color w:val="000000" w:themeColor="text1"/>
          <w:sz w:val="24"/>
          <w:szCs w:val="24"/>
        </w:rPr>
        <w:t>on neuropsychological test</w:t>
      </w:r>
      <w:r w:rsidR="00FF775A">
        <w:rPr>
          <w:rFonts w:ascii="Times New Roman" w:hAnsi="Times New Roman" w:cs="Times New Roman"/>
          <w:color w:val="000000" w:themeColor="text1"/>
          <w:sz w:val="24"/>
          <w:szCs w:val="24"/>
        </w:rPr>
        <w:t>s</w:t>
      </w:r>
      <w:r w:rsidR="008B20B9">
        <w:rPr>
          <w:rFonts w:ascii="Times New Roman" w:hAnsi="Times New Roman" w:cs="Times New Roman"/>
          <w:color w:val="000000" w:themeColor="text1"/>
          <w:sz w:val="24"/>
          <w:szCs w:val="24"/>
        </w:rPr>
        <w:t xml:space="preserve"> but </w:t>
      </w:r>
      <w:r w:rsidR="00DF0705">
        <w:rPr>
          <w:rFonts w:ascii="Times New Roman" w:hAnsi="Times New Roman" w:cs="Times New Roman"/>
          <w:color w:val="000000" w:themeColor="text1"/>
          <w:sz w:val="24"/>
          <w:szCs w:val="24"/>
        </w:rPr>
        <w:t>are</w:t>
      </w:r>
      <w:r w:rsidR="008B20B9">
        <w:rPr>
          <w:rFonts w:ascii="Times New Roman" w:hAnsi="Times New Roman" w:cs="Times New Roman"/>
          <w:color w:val="000000" w:themeColor="text1"/>
          <w:sz w:val="24"/>
          <w:szCs w:val="24"/>
        </w:rPr>
        <w:t xml:space="preserve"> </w:t>
      </w:r>
      <w:r w:rsidR="00DF0705">
        <w:rPr>
          <w:rFonts w:ascii="Times New Roman" w:hAnsi="Times New Roman" w:cs="Times New Roman"/>
          <w:color w:val="000000" w:themeColor="text1"/>
          <w:sz w:val="24"/>
          <w:szCs w:val="24"/>
        </w:rPr>
        <w:t>starting</w:t>
      </w:r>
      <w:r w:rsidR="008B20B9">
        <w:rPr>
          <w:rFonts w:ascii="Times New Roman" w:hAnsi="Times New Roman" w:cs="Times New Roman"/>
          <w:color w:val="000000" w:themeColor="text1"/>
          <w:sz w:val="24"/>
          <w:szCs w:val="24"/>
        </w:rPr>
        <w:t xml:space="preserve"> </w:t>
      </w:r>
      <w:r w:rsidR="00DF0705">
        <w:rPr>
          <w:rFonts w:ascii="Times New Roman" w:hAnsi="Times New Roman" w:cs="Times New Roman"/>
          <w:color w:val="000000" w:themeColor="text1"/>
          <w:sz w:val="24"/>
          <w:szCs w:val="24"/>
        </w:rPr>
        <w:t xml:space="preserve">to experience </w:t>
      </w:r>
      <w:r w:rsidR="00FF775A">
        <w:rPr>
          <w:rFonts w:ascii="Times New Roman" w:hAnsi="Times New Roman" w:cs="Times New Roman"/>
          <w:color w:val="000000" w:themeColor="text1"/>
          <w:sz w:val="24"/>
          <w:szCs w:val="24"/>
        </w:rPr>
        <w:t xml:space="preserve">subtle cognitive changes and </w:t>
      </w:r>
      <w:r w:rsidR="008B20B9">
        <w:rPr>
          <w:rFonts w:ascii="Times New Roman" w:hAnsi="Times New Roman" w:cs="Times New Roman"/>
          <w:color w:val="000000" w:themeColor="text1"/>
          <w:sz w:val="24"/>
          <w:szCs w:val="24"/>
        </w:rPr>
        <w:t>increasing cognitive efforts in everyday tasks</w:t>
      </w:r>
      <w:r w:rsidR="00E84C4E">
        <w:rPr>
          <w:rFonts w:ascii="Times New Roman" w:hAnsi="Times New Roman" w:cs="Times New Roman"/>
          <w:color w:val="000000" w:themeColor="text1"/>
          <w:sz w:val="24"/>
          <w:szCs w:val="24"/>
        </w:rPr>
        <w:t xml:space="preserve"> </w:t>
      </w:r>
      <w:r w:rsidR="00E84C4E">
        <w:rPr>
          <w:rFonts w:ascii="Times New Roman" w:hAnsi="Times New Roman" w:cs="Times New Roman"/>
          <w:color w:val="000000" w:themeColor="text1"/>
          <w:sz w:val="24"/>
          <w:szCs w:val="24"/>
        </w:rPr>
        <w:fldChar w:fldCharType="begin" w:fldLock="1"/>
      </w:r>
      <w:r w:rsidR="00782FD8">
        <w:rPr>
          <w:rFonts w:ascii="Times New Roman" w:hAnsi="Times New Roman" w:cs="Times New Roman"/>
          <w:color w:val="000000" w:themeColor="text1"/>
          <w:sz w:val="24"/>
          <w:szCs w:val="24"/>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Disease","type":"article-journal","volume":"13"},"uris":["http://www.mendeley.com/documents/?uuid=7dcbe897-3cdc-4e87-9d81-1eb7c8d16362"]}],"mendeley":{"formattedCitation":"(Rabin et al., 2017)","plainTextFormattedCitation":"(Rabin et al., 2017)","previouslyFormattedCitation":"(Rabin et al., 2017)"},"properties":{"noteIndex":0},"schema":"https://github.com/citation-style-language/schema/raw/master/csl-citation.json"}</w:instrText>
      </w:r>
      <w:r w:rsidR="00E84C4E">
        <w:rPr>
          <w:rFonts w:ascii="Times New Roman" w:hAnsi="Times New Roman" w:cs="Times New Roman"/>
          <w:color w:val="000000" w:themeColor="text1"/>
          <w:sz w:val="24"/>
          <w:szCs w:val="24"/>
        </w:rPr>
        <w:fldChar w:fldCharType="separate"/>
      </w:r>
      <w:r w:rsidR="00E84C4E" w:rsidRPr="00E84C4E">
        <w:rPr>
          <w:rFonts w:ascii="Times New Roman" w:hAnsi="Times New Roman" w:cs="Times New Roman"/>
          <w:noProof/>
          <w:color w:val="000000" w:themeColor="text1"/>
          <w:sz w:val="24"/>
          <w:szCs w:val="24"/>
        </w:rPr>
        <w:t>(Rabin et al., 2017)</w:t>
      </w:r>
      <w:r w:rsidR="00E84C4E">
        <w:rPr>
          <w:rFonts w:ascii="Times New Roman" w:hAnsi="Times New Roman" w:cs="Times New Roman"/>
          <w:color w:val="000000" w:themeColor="text1"/>
          <w:sz w:val="24"/>
          <w:szCs w:val="24"/>
        </w:rPr>
        <w:fldChar w:fldCharType="end"/>
      </w:r>
      <w:r w:rsidR="00DF0705">
        <w:rPr>
          <w:rFonts w:ascii="Times New Roman" w:hAnsi="Times New Roman" w:cs="Times New Roman"/>
          <w:color w:val="000000" w:themeColor="text1"/>
          <w:sz w:val="24"/>
          <w:szCs w:val="24"/>
        </w:rPr>
        <w:t>.</w:t>
      </w:r>
      <w:r w:rsidR="00E84C4E">
        <w:rPr>
          <w:rFonts w:ascii="Times New Roman" w:hAnsi="Times New Roman" w:cs="Times New Roman"/>
          <w:color w:val="000000" w:themeColor="text1"/>
          <w:sz w:val="24"/>
          <w:szCs w:val="24"/>
        </w:rPr>
        <w:t xml:space="preserve"> S</w:t>
      </w:r>
      <w:r w:rsidR="00423D0B" w:rsidRPr="00577052">
        <w:rPr>
          <w:rFonts w:ascii="Times New Roman" w:hAnsi="Times New Roman" w:cs="Times New Roman"/>
          <w:color w:val="000000" w:themeColor="text1"/>
          <w:sz w:val="24"/>
          <w:szCs w:val="24"/>
        </w:rPr>
        <w:t>ubjective cognitive complaints (SCCs)</w:t>
      </w:r>
      <w:r w:rsidR="00E84C4E">
        <w:rPr>
          <w:rFonts w:ascii="Times New Roman" w:hAnsi="Times New Roman" w:cs="Times New Roman"/>
          <w:color w:val="000000" w:themeColor="text1"/>
          <w:sz w:val="24"/>
          <w:szCs w:val="24"/>
        </w:rPr>
        <w:t>, the self-</w:t>
      </w:r>
      <w:r w:rsidR="00D968DE">
        <w:rPr>
          <w:rFonts w:ascii="Times New Roman" w:hAnsi="Times New Roman" w:cs="Times New Roman"/>
          <w:color w:val="000000" w:themeColor="text1"/>
          <w:sz w:val="24"/>
          <w:szCs w:val="24"/>
        </w:rPr>
        <w:t>reported</w:t>
      </w:r>
      <w:r w:rsidR="00E84C4E">
        <w:rPr>
          <w:rFonts w:ascii="Times New Roman" w:hAnsi="Times New Roman" w:cs="Times New Roman"/>
          <w:color w:val="000000" w:themeColor="text1"/>
          <w:sz w:val="24"/>
          <w:szCs w:val="24"/>
        </w:rPr>
        <w:t xml:space="preserve"> difficulties in everyday cognitive tasks</w:t>
      </w:r>
      <w:r w:rsidR="00D968DE">
        <w:rPr>
          <w:rFonts w:ascii="Times New Roman" w:hAnsi="Times New Roman" w:cs="Times New Roman"/>
          <w:color w:val="000000" w:themeColor="text1"/>
          <w:sz w:val="24"/>
          <w:szCs w:val="24"/>
        </w:rPr>
        <w:t xml:space="preserve"> based on patients’ accumulative experience</w:t>
      </w:r>
      <w:r w:rsidR="00E84C4E">
        <w:rPr>
          <w:rFonts w:ascii="Times New Roman" w:hAnsi="Times New Roman" w:cs="Times New Roman"/>
          <w:color w:val="000000" w:themeColor="text1"/>
          <w:sz w:val="24"/>
          <w:szCs w:val="24"/>
        </w:rPr>
        <w:t>,</w:t>
      </w:r>
      <w:r w:rsidR="00277233" w:rsidRPr="00577052">
        <w:rPr>
          <w:rFonts w:ascii="Times New Roman" w:hAnsi="Times New Roman" w:cs="Times New Roman"/>
          <w:color w:val="000000" w:themeColor="text1"/>
          <w:sz w:val="24"/>
          <w:szCs w:val="24"/>
        </w:rPr>
        <w:t xml:space="preserve"> </w:t>
      </w:r>
      <w:r w:rsidR="00B82DE5" w:rsidRPr="00577052">
        <w:rPr>
          <w:rFonts w:ascii="Times New Roman" w:hAnsi="Times New Roman" w:cs="Times New Roman"/>
          <w:color w:val="000000" w:themeColor="text1"/>
          <w:sz w:val="24"/>
          <w:szCs w:val="24"/>
        </w:rPr>
        <w:t xml:space="preserve">may </w:t>
      </w:r>
      <w:r w:rsidR="00F67259">
        <w:rPr>
          <w:rFonts w:ascii="Times New Roman" w:hAnsi="Times New Roman" w:cs="Times New Roman"/>
          <w:color w:val="000000" w:themeColor="text1"/>
          <w:sz w:val="24"/>
          <w:szCs w:val="24"/>
        </w:rPr>
        <w:t xml:space="preserve">therefore </w:t>
      </w:r>
      <w:r w:rsidR="00EB26C1" w:rsidRPr="00577052">
        <w:rPr>
          <w:rFonts w:ascii="Times New Roman" w:hAnsi="Times New Roman" w:cs="Times New Roman"/>
          <w:color w:val="000000" w:themeColor="text1"/>
          <w:sz w:val="24"/>
          <w:szCs w:val="24"/>
        </w:rPr>
        <w:t xml:space="preserve">provide </w:t>
      </w:r>
      <w:r w:rsidR="00F67259">
        <w:rPr>
          <w:rFonts w:ascii="Times New Roman" w:hAnsi="Times New Roman" w:cs="Times New Roman"/>
          <w:color w:val="000000" w:themeColor="text1"/>
          <w:sz w:val="24"/>
          <w:szCs w:val="24"/>
        </w:rPr>
        <w:t xml:space="preserve">additional </w:t>
      </w:r>
      <w:r w:rsidR="00EB26C1" w:rsidRPr="00577052">
        <w:rPr>
          <w:rFonts w:ascii="Times New Roman" w:hAnsi="Times New Roman" w:cs="Times New Roman"/>
          <w:color w:val="000000" w:themeColor="text1"/>
          <w:sz w:val="24"/>
          <w:szCs w:val="24"/>
        </w:rPr>
        <w:t xml:space="preserve">meaningful </w:t>
      </w:r>
      <w:r w:rsidR="0062129D" w:rsidRPr="00577052">
        <w:rPr>
          <w:rFonts w:ascii="Times New Roman" w:hAnsi="Times New Roman" w:cs="Times New Roman"/>
          <w:color w:val="000000" w:themeColor="text1"/>
          <w:sz w:val="24"/>
          <w:szCs w:val="24"/>
        </w:rPr>
        <w:t xml:space="preserve">information on </w:t>
      </w:r>
      <w:r w:rsidR="00782E65" w:rsidRPr="00577052">
        <w:rPr>
          <w:rFonts w:ascii="Times New Roman" w:hAnsi="Times New Roman" w:cs="Times New Roman"/>
          <w:color w:val="000000" w:themeColor="text1"/>
          <w:sz w:val="24"/>
          <w:szCs w:val="24"/>
        </w:rPr>
        <w:t xml:space="preserve">the everyday </w:t>
      </w:r>
      <w:r w:rsidR="00782E65" w:rsidRPr="00F113F7">
        <w:rPr>
          <w:rFonts w:ascii="Times New Roman" w:hAnsi="Times New Roman" w:cs="Times New Roman"/>
          <w:color w:val="000000" w:themeColor="text1"/>
          <w:sz w:val="24"/>
          <w:szCs w:val="24"/>
        </w:rPr>
        <w:t>manifestation of CI</w:t>
      </w:r>
      <w:r w:rsidR="00D968DE">
        <w:rPr>
          <w:rFonts w:ascii="Times New Roman" w:hAnsi="Times New Roman" w:cs="Times New Roman"/>
          <w:color w:val="000000" w:themeColor="text1"/>
          <w:sz w:val="24"/>
          <w:szCs w:val="24"/>
        </w:rPr>
        <w:t>s</w:t>
      </w:r>
      <w:r w:rsidR="00443DEE">
        <w:rPr>
          <w:rFonts w:ascii="Times New Roman" w:hAnsi="Times New Roman" w:cs="Times New Roman"/>
          <w:color w:val="000000" w:themeColor="text1"/>
          <w:sz w:val="24"/>
          <w:szCs w:val="24"/>
        </w:rPr>
        <w:t>.</w:t>
      </w:r>
      <w:r w:rsidR="00205E81" w:rsidRPr="00F113F7">
        <w:rPr>
          <w:rFonts w:ascii="Times New Roman" w:hAnsi="Times New Roman" w:cs="Times New Roman"/>
          <w:color w:val="000000" w:themeColor="text1"/>
          <w:sz w:val="24"/>
          <w:szCs w:val="24"/>
        </w:rPr>
        <w:t xml:space="preserve"> Importantly, </w:t>
      </w:r>
      <w:r w:rsidR="00F113F7">
        <w:rPr>
          <w:rFonts w:ascii="Times New Roman" w:hAnsi="Times New Roman" w:cs="Times New Roman"/>
          <w:color w:val="000000" w:themeColor="text1"/>
          <w:sz w:val="24"/>
          <w:szCs w:val="24"/>
        </w:rPr>
        <w:t xml:space="preserve">the presence of </w:t>
      </w:r>
      <w:r w:rsidR="00205E81" w:rsidRPr="00F113F7">
        <w:rPr>
          <w:rFonts w:ascii="Times New Roman" w:hAnsi="Times New Roman" w:cs="Times New Roman"/>
          <w:color w:val="000000" w:themeColor="text1"/>
          <w:sz w:val="24"/>
          <w:szCs w:val="24"/>
        </w:rPr>
        <w:t xml:space="preserve">SCCs </w:t>
      </w:r>
      <w:r w:rsidR="00F92375">
        <w:rPr>
          <w:rFonts w:ascii="Times New Roman" w:hAnsi="Times New Roman" w:cs="Times New Roman"/>
          <w:color w:val="000000" w:themeColor="text1"/>
          <w:sz w:val="24"/>
          <w:szCs w:val="24"/>
        </w:rPr>
        <w:t>constitutes</w:t>
      </w:r>
      <w:r w:rsidR="00205E81" w:rsidRPr="00F113F7">
        <w:rPr>
          <w:rFonts w:ascii="Times New Roman" w:hAnsi="Times New Roman" w:cs="Times New Roman"/>
          <w:color w:val="000000" w:themeColor="text1"/>
          <w:sz w:val="24"/>
          <w:szCs w:val="24"/>
        </w:rPr>
        <w:t xml:space="preserve"> </w:t>
      </w:r>
      <w:r w:rsidR="0083071E">
        <w:rPr>
          <w:rFonts w:ascii="Times New Roman" w:hAnsi="Times New Roman" w:cs="Times New Roman"/>
          <w:color w:val="000000" w:themeColor="text1"/>
          <w:sz w:val="24"/>
          <w:szCs w:val="24"/>
        </w:rPr>
        <w:t xml:space="preserve">the </w:t>
      </w:r>
      <w:r w:rsidR="00205E81" w:rsidRPr="00F113F7">
        <w:rPr>
          <w:rFonts w:ascii="Times New Roman" w:hAnsi="Times New Roman" w:cs="Times New Roman"/>
          <w:color w:val="000000" w:themeColor="text1"/>
          <w:sz w:val="24"/>
          <w:szCs w:val="24"/>
        </w:rPr>
        <w:t xml:space="preserve">earliest </w:t>
      </w:r>
      <w:r w:rsidR="00F113F7" w:rsidRPr="00F113F7">
        <w:rPr>
          <w:rFonts w:ascii="Times New Roman" w:hAnsi="Times New Roman" w:cs="Times New Roman"/>
          <w:color w:val="000000" w:themeColor="text1"/>
          <w:sz w:val="24"/>
          <w:szCs w:val="24"/>
        </w:rPr>
        <w:t>symptom</w:t>
      </w:r>
      <w:r w:rsidR="00F113F7">
        <w:rPr>
          <w:rFonts w:ascii="Times New Roman" w:hAnsi="Times New Roman" w:cs="Times New Roman"/>
          <w:color w:val="000000" w:themeColor="text1"/>
          <w:sz w:val="24"/>
          <w:szCs w:val="24"/>
        </w:rPr>
        <w:t>atic manifestation</w:t>
      </w:r>
      <w:r w:rsidR="00F113F7" w:rsidRPr="00F113F7">
        <w:rPr>
          <w:rFonts w:ascii="Times New Roman" w:hAnsi="Times New Roman" w:cs="Times New Roman"/>
          <w:color w:val="000000" w:themeColor="text1"/>
          <w:sz w:val="24"/>
          <w:szCs w:val="24"/>
        </w:rPr>
        <w:t xml:space="preserve"> </w:t>
      </w:r>
      <w:r w:rsidR="00F92375">
        <w:rPr>
          <w:rFonts w:ascii="Times New Roman" w:hAnsi="Times New Roman" w:cs="Times New Roman"/>
          <w:color w:val="000000" w:themeColor="text1"/>
          <w:sz w:val="24"/>
          <w:szCs w:val="24"/>
        </w:rPr>
        <w:t xml:space="preserve">of </w:t>
      </w:r>
      <w:r w:rsidR="00BA134D">
        <w:rPr>
          <w:rFonts w:ascii="Times New Roman" w:hAnsi="Times New Roman" w:cs="Times New Roman"/>
          <w:color w:val="000000" w:themeColor="text1"/>
          <w:sz w:val="24"/>
          <w:szCs w:val="24"/>
        </w:rPr>
        <w:t>cognitive de</w:t>
      </w:r>
      <w:r w:rsidR="00713854">
        <w:rPr>
          <w:rFonts w:ascii="Times New Roman" w:hAnsi="Times New Roman" w:cs="Times New Roman"/>
          <w:color w:val="000000" w:themeColor="text1"/>
          <w:sz w:val="24"/>
          <w:szCs w:val="24"/>
        </w:rPr>
        <w:t>c</w:t>
      </w:r>
      <w:r w:rsidR="00BA134D">
        <w:rPr>
          <w:rFonts w:ascii="Times New Roman" w:hAnsi="Times New Roman" w:cs="Times New Roman"/>
          <w:color w:val="000000" w:themeColor="text1"/>
          <w:sz w:val="24"/>
          <w:szCs w:val="24"/>
        </w:rPr>
        <w:t xml:space="preserve">line </w:t>
      </w:r>
      <w:r w:rsidR="00F113F7" w:rsidRPr="00F113F7">
        <w:rPr>
          <w:rFonts w:ascii="Times New Roman" w:hAnsi="Times New Roman" w:cs="Times New Roman"/>
          <w:color w:val="000000" w:themeColor="text1"/>
          <w:sz w:val="24"/>
          <w:szCs w:val="24"/>
        </w:rPr>
        <w:fldChar w:fldCharType="begin" w:fldLock="1"/>
      </w:r>
      <w:r w:rsidR="00F113F7" w:rsidRPr="00F113F7">
        <w:rPr>
          <w:rFonts w:ascii="Times New Roman" w:hAnsi="Times New Roman" w:cs="Times New Roman"/>
          <w:color w:val="000000" w:themeColor="text1"/>
          <w:sz w:val="24"/>
          <w:szCs w:val="24"/>
        </w:rPr>
        <w:instrText>ADDIN CSL_CITATION {"citationItems":[{"id":"ITEM-1","itemData":{"DOI":"10.1016/j.jalz.2014.01.001","ISSN":"15525279","PMID":"24798886","abstract":"There is increasing evidence that subjective cognitive decline (SCD) in individuals with unimpaired performance on cognitive tests may represent the first symptomatic manifestation of Alzheimer's disease (AD). The research on SCD in early AD, however, is limited by the absence of common standards. The working group of the Subjective Cognitive Decline Initiative (SCD-I) addressed this deficiency by reaching consensus on terminology and on a conceptual framework for research on SCD in AD. In this publication, research criteria for SCD in pre-mild cognitive impairment (MCI) are presented. In addition, a list of core features proposed for reporting in SCD studies is provided, which will enable comparability of research across different settings. Finally, a set of features is presented, which in accordance with current knowledge, increases the likelihood of the presence of preclinical AD in individuals with SCD. This list is referred to as SCD plus.","author":[{"dropping-particle":"","family":"Jessen","given":"Frank","non-dropping-particle":"","parse-names":false,"suffix":""},{"dropping-particle":"","family":"Amariglio","given":"Rebecca E.","non-dropping-particle":"","parse-names":false,"suffix":""},{"dropping-particle":"","family":"Boxtel","given":"Martin","non-dropping-particle":"Van","parse-names":false,"suffix":""},{"dropping-particle":"","family":"Breteler","given":"Monique","non-dropping-particle":"","parse-names":false,"suffix":""},{"dropping-particle":"","family":"Ceccaldi","given":"Mathieu","non-dropping-particle":"","parse-names":false,"suffix":""},{"dropping-particle":"","family":"Chételat","given":"Gaël","non-dropping-particle":"","parse-names":false,"suffix":""},{"dropping-particle":"","family":"Dubois","given":"Bruno","non-dropping-particle":"","parse-names":false,"suffix":""},{"dropping-particle":"","family":"Dufouil","given":"Carole","non-dropping-particle":"","parse-names":false,"suffix":""},{"dropping-particle":"","family":"Ellis","given":"Kathryn A.","non-dropping-particle":"","parse-names":false,"suffix":""},{"dropping-particle":"","family":"Flier","given":"Wiesje M.","non-dropping-particle":"Van Der","parse-names":false,"suffix":""},{"dropping-particle":"","family":"Glodzik","given":"Lidia","non-dropping-particle":"","parse-names":false,"suffix":""},{"dropping-particle":"","family":"Harten","given":"Argonde C.","non-dropping-particle":"Van","parse-names":false,"suffix":""},{"dropping-particle":"","family":"Leon","given":"Mony J.","non-dropping-particle":"De","parse-names":false,"suffix":""},{"dropping-particle":"","family":"McHugh","given":"Pauline","non-dropping-particle":"","parse-names":false,"suffix":""},{"dropping-particle":"","family":"Mielke","given":"Michelle M.","non-dropping-particle":"","parse-names":false,"suffix":""},{"dropping-particle":"","family":"Molinuevo","given":"Jose Luis","non-dropping-particle":"","parse-names":false,"suffix":""},{"dropping-particle":"","family":"Mosconi","given":"Lisa","non-dropping-particle":"","parse-names":false,"suffix":""},{"dropping-particle":"","family":"Osorio","given":"Ricardo S.","non-dropping-particle":"","parse-names":false,"suffix":""},{"dropping-particle":"","family":"Perrotin","given":"Audrey","non-dropping-particle":"","parse-names":false,"suffix":""},{"dropping-particle":"","family":"Petersen","given":"Ronald C.","non-dropping-particle":"","parse-names":false,"suffix":""},{"dropping-particle":"","family":"Rabin","given":"Laura A.","non-dropping-particle":"","parse-names":false,"suffix":""},{"dropping-particle":"","family":"Rami","given":"Lorena","non-dropping-particle":"","parse-names":false,"suffix":""},{"dropping-particle":"","family":"Reisberg","given":"Barry","non-dropping-particle":"","parse-names":false,"suffix":""},{"dropping-particle":"","family":"Rentz","given":"Dorene M.","non-dropping-particle":"","parse-names":false,"suffix":""},{"dropping-particle":"","family":"Sachdev","given":"Perminder S.","non-dropping-particle":"","parse-names":false,"suffix":""},{"dropping-particle":"","family":"La Sayette","given":"Vincent","non-dropping-particle":"De","parse-names":false,"suffix":""},{"dropping-particle":"","family":"Saykin","given":"Andrew J.","non-dropping-particle":"","parse-names":false,"suffix":""},{"dropping-particle":"","family":"Scheltens","given":"Philip","non-dropping-particle":"","parse-names":false,"suffix":""},{"dropping-particle":"","family":"Shulman","given":"Melanie B.","non-dropping-particle":"","parse-names":false,"suffix":""},{"dropping-particle":"","family":"Slavin","given":"Melissa J.","non-dropping-particle":"","parse-names":false,"suffix":""},{"dropping-particle":"","family":"Sperling","given":"Reisa A.","non-dropping-particle":"","parse-names":false,"suffix":""},{"dropping-particle":"","family":"Stewart","given":"Robert","non-dropping-particle":"","parse-names":false,"suffix":""},{"dropping-particle":"","family":"Uspenskaya","given":"Olga","non-dropping-particle":"","parse-names":false,"suffix":""},{"dropping-particle":"","family":"Vellas","given":"Bruno","non-dropping-particle":"","parse-names":false,"suffix":""},{"dropping-particle":"","family":"Visser","given":"Pieter Jelle","non-dropping-particle":"","parse-names":false,"suffix":""},{"dropping-particle":"","family":"Wagner","given":"Michael","non-dropping-particle":"","parse-names":false,"suffix":""}],"container-title":"Alzheimer's and Dementia","id":"ITEM-1","issue":"6","issued":{"date-parts":[["2014"]]},"page":"844-852","title":"A conceptual framework for research on subjective cognitive decline in preclinical Alzheimer's disease","type":"article-journal","volume":"10"},"uris":["http://www.mendeley.com/documents/?uuid=eed3f943-fa8b-47db-8ced-e2927201b20a"]}],"mendeley":{"formattedCitation":"(Jessen et al., 2014)","plainTextFormattedCitation":"(Jessen et al., 2014)","previouslyFormattedCitation":"(Jessen et al., 2014)"},"properties":{"noteIndex":0},"schema":"https://github.com/citation-style-language/schema/raw/master/csl-citation.json"}</w:instrText>
      </w:r>
      <w:r w:rsidR="00F113F7" w:rsidRPr="00F113F7">
        <w:rPr>
          <w:rFonts w:ascii="Times New Roman" w:hAnsi="Times New Roman" w:cs="Times New Roman"/>
          <w:color w:val="000000" w:themeColor="text1"/>
          <w:sz w:val="24"/>
          <w:szCs w:val="24"/>
        </w:rPr>
        <w:fldChar w:fldCharType="separate"/>
      </w:r>
      <w:r w:rsidR="00F113F7" w:rsidRPr="00F113F7">
        <w:rPr>
          <w:rFonts w:ascii="Times New Roman" w:hAnsi="Times New Roman" w:cs="Times New Roman"/>
          <w:noProof/>
          <w:color w:val="000000" w:themeColor="text1"/>
          <w:sz w:val="24"/>
          <w:szCs w:val="24"/>
        </w:rPr>
        <w:t>(Jessen et al., 2014)</w:t>
      </w:r>
      <w:r w:rsidR="00F113F7" w:rsidRPr="00F113F7">
        <w:rPr>
          <w:rFonts w:ascii="Times New Roman" w:hAnsi="Times New Roman" w:cs="Times New Roman"/>
          <w:color w:val="000000" w:themeColor="text1"/>
          <w:sz w:val="24"/>
          <w:szCs w:val="24"/>
        </w:rPr>
        <w:fldChar w:fldCharType="end"/>
      </w:r>
      <w:r w:rsidR="00F113F7">
        <w:rPr>
          <w:rFonts w:ascii="Times New Roman" w:hAnsi="Times New Roman" w:cs="Times New Roman"/>
          <w:color w:val="000000" w:themeColor="text1"/>
          <w:sz w:val="24"/>
          <w:szCs w:val="24"/>
        </w:rPr>
        <w:t xml:space="preserve"> which </w:t>
      </w:r>
      <w:r w:rsidR="00D90708">
        <w:rPr>
          <w:rFonts w:ascii="Times New Roman" w:hAnsi="Times New Roman" w:cs="Times New Roman"/>
          <w:color w:val="000000" w:themeColor="text1"/>
          <w:sz w:val="24"/>
          <w:szCs w:val="24"/>
        </w:rPr>
        <w:t xml:space="preserve">may </w:t>
      </w:r>
      <w:r w:rsidR="00F113F7">
        <w:rPr>
          <w:rFonts w:ascii="Times New Roman" w:hAnsi="Times New Roman" w:cs="Times New Roman"/>
          <w:color w:val="000000" w:themeColor="text1"/>
          <w:sz w:val="24"/>
          <w:szCs w:val="24"/>
        </w:rPr>
        <w:t xml:space="preserve">predict progression to dementia </w:t>
      </w:r>
      <w:r w:rsidR="00F113F7">
        <w:rPr>
          <w:rFonts w:ascii="Times New Roman" w:hAnsi="Times New Roman" w:cs="Times New Roman"/>
          <w:color w:val="000000" w:themeColor="text1"/>
          <w:sz w:val="24"/>
          <w:szCs w:val="24"/>
        </w:rPr>
        <w:fldChar w:fldCharType="begin" w:fldLock="1"/>
      </w:r>
      <w:r w:rsidR="001725EA">
        <w:rPr>
          <w:rFonts w:ascii="Times New Roman" w:hAnsi="Times New Roman" w:cs="Times New Roman"/>
          <w:color w:val="000000" w:themeColor="text1"/>
          <w:sz w:val="24"/>
          <w:szCs w:val="24"/>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Disease","type":"article-journal","volume":"13"},"uris":["http://www.mendeley.com/documents/?uuid=7dcbe897-3cdc-4e87-9d81-1eb7c8d16362"]}],"mendeley":{"formattedCitation":"(Rabin et al., 2017)","plainTextFormattedCitation":"(Rabin et al., 2017)","previouslyFormattedCitation":"(Rabin et al., 2017)"},"properties":{"noteIndex":0},"schema":"https://github.com/citation-style-language/schema/raw/master/csl-citation.json"}</w:instrText>
      </w:r>
      <w:r w:rsidR="00F113F7">
        <w:rPr>
          <w:rFonts w:ascii="Times New Roman" w:hAnsi="Times New Roman" w:cs="Times New Roman"/>
          <w:color w:val="000000" w:themeColor="text1"/>
          <w:sz w:val="24"/>
          <w:szCs w:val="24"/>
        </w:rPr>
        <w:fldChar w:fldCharType="separate"/>
      </w:r>
      <w:r w:rsidR="00F113F7" w:rsidRPr="00F113F7">
        <w:rPr>
          <w:rFonts w:ascii="Times New Roman" w:hAnsi="Times New Roman" w:cs="Times New Roman"/>
          <w:noProof/>
          <w:color w:val="000000" w:themeColor="text1"/>
          <w:sz w:val="24"/>
          <w:szCs w:val="24"/>
        </w:rPr>
        <w:t>(Rabin et al., 2017)</w:t>
      </w:r>
      <w:r w:rsidR="00F113F7">
        <w:rPr>
          <w:rFonts w:ascii="Times New Roman" w:hAnsi="Times New Roman" w:cs="Times New Roman"/>
          <w:color w:val="000000" w:themeColor="text1"/>
          <w:sz w:val="24"/>
          <w:szCs w:val="24"/>
        </w:rPr>
        <w:fldChar w:fldCharType="end"/>
      </w:r>
      <w:r w:rsidR="00BA134D">
        <w:rPr>
          <w:rFonts w:ascii="Times New Roman" w:hAnsi="Times New Roman" w:cs="Times New Roman"/>
          <w:color w:val="000000" w:themeColor="text1"/>
          <w:sz w:val="24"/>
          <w:szCs w:val="24"/>
        </w:rPr>
        <w:t>.</w:t>
      </w:r>
      <w:r w:rsidR="00703446">
        <w:rPr>
          <w:rFonts w:ascii="Times New Roman" w:hAnsi="Times New Roman" w:cs="Times New Roman"/>
          <w:color w:val="000000" w:themeColor="text1"/>
          <w:sz w:val="24"/>
          <w:szCs w:val="24"/>
        </w:rPr>
        <w:t xml:space="preserve"> Understanding SCCs is therefore crucial for improving patient-centred care and allowing early detection of CIs.</w:t>
      </w:r>
    </w:p>
    <w:p w14:paraId="37B1EC19" w14:textId="5605BD8A" w:rsidR="00907CB8" w:rsidRPr="00577052" w:rsidRDefault="006C2F6F" w:rsidP="00577052">
      <w:pPr>
        <w:pStyle w:val="CommentText"/>
        <w:spacing w:line="480" w:lineRule="auto"/>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also</w:t>
      </w:r>
      <w:r w:rsidR="00035235" w:rsidRPr="00577052">
        <w:rPr>
          <w:rFonts w:ascii="Times New Roman" w:hAnsi="Times New Roman" w:cs="Times New Roman"/>
          <w:color w:val="000000" w:themeColor="text1"/>
          <w:sz w:val="24"/>
          <w:szCs w:val="24"/>
        </w:rPr>
        <w:t xml:space="preserve"> have very limited information </w:t>
      </w:r>
      <w:r w:rsidR="001E2DA5" w:rsidRPr="00577052">
        <w:rPr>
          <w:rFonts w:ascii="Times New Roman" w:hAnsi="Times New Roman" w:cs="Times New Roman"/>
          <w:color w:val="000000" w:themeColor="text1"/>
          <w:sz w:val="24"/>
          <w:szCs w:val="24"/>
        </w:rPr>
        <w:t xml:space="preserve">on the </w:t>
      </w:r>
      <w:r w:rsidR="00E74A6C">
        <w:rPr>
          <w:rFonts w:ascii="Times New Roman" w:hAnsi="Times New Roman" w:cs="Times New Roman"/>
          <w:color w:val="000000" w:themeColor="text1"/>
          <w:sz w:val="24"/>
          <w:szCs w:val="24"/>
        </w:rPr>
        <w:t>association between</w:t>
      </w:r>
      <w:r w:rsidR="001E2DA5" w:rsidRPr="00577052">
        <w:rPr>
          <w:rFonts w:ascii="Times New Roman" w:hAnsi="Times New Roman" w:cs="Times New Roman"/>
          <w:color w:val="000000" w:themeColor="text1"/>
          <w:sz w:val="24"/>
          <w:szCs w:val="24"/>
        </w:rPr>
        <w:t xml:space="preserve"> </w:t>
      </w:r>
      <w:r w:rsidR="00E74A6C">
        <w:rPr>
          <w:rFonts w:ascii="Times New Roman" w:hAnsi="Times New Roman" w:cs="Times New Roman"/>
          <w:color w:val="000000" w:themeColor="text1"/>
          <w:sz w:val="24"/>
          <w:szCs w:val="24"/>
        </w:rPr>
        <w:t>cognition</w:t>
      </w:r>
      <w:r w:rsidR="001E2DA5" w:rsidRPr="00577052">
        <w:rPr>
          <w:rFonts w:ascii="Times New Roman" w:hAnsi="Times New Roman" w:cs="Times New Roman"/>
          <w:color w:val="000000" w:themeColor="text1"/>
          <w:sz w:val="24"/>
          <w:szCs w:val="24"/>
        </w:rPr>
        <w:t xml:space="preserve"> </w:t>
      </w:r>
      <w:r w:rsidR="00C105B1">
        <w:rPr>
          <w:rFonts w:ascii="Times New Roman" w:hAnsi="Times New Roman" w:cs="Times New Roman"/>
          <w:color w:val="000000" w:themeColor="text1"/>
          <w:sz w:val="24"/>
          <w:szCs w:val="24"/>
        </w:rPr>
        <w:t>and</w:t>
      </w:r>
      <w:r w:rsidR="001E2DA5" w:rsidRPr="00577052">
        <w:rPr>
          <w:rFonts w:ascii="Times New Roman" w:hAnsi="Times New Roman" w:cs="Times New Roman"/>
          <w:color w:val="000000" w:themeColor="text1"/>
          <w:sz w:val="24"/>
          <w:szCs w:val="24"/>
        </w:rPr>
        <w:t xml:space="preserve"> </w:t>
      </w:r>
      <w:r w:rsidR="00260B43" w:rsidRPr="00577052">
        <w:rPr>
          <w:rFonts w:ascii="Times New Roman" w:hAnsi="Times New Roman" w:cs="Times New Roman"/>
          <w:color w:val="000000" w:themeColor="text1"/>
          <w:sz w:val="24"/>
          <w:szCs w:val="24"/>
        </w:rPr>
        <w:t xml:space="preserve">other </w:t>
      </w:r>
      <w:r w:rsidR="001E2DA5" w:rsidRPr="00577052">
        <w:rPr>
          <w:rFonts w:ascii="Times New Roman" w:hAnsi="Times New Roman" w:cs="Times New Roman"/>
          <w:color w:val="000000" w:themeColor="text1"/>
          <w:sz w:val="24"/>
          <w:szCs w:val="24"/>
        </w:rPr>
        <w:t>real-world functioning outcomes such as self-management</w:t>
      </w:r>
      <w:r w:rsidR="00211E45" w:rsidRPr="00577052">
        <w:rPr>
          <w:rFonts w:ascii="Times New Roman" w:hAnsi="Times New Roman" w:cs="Times New Roman"/>
          <w:color w:val="000000" w:themeColor="text1"/>
          <w:sz w:val="24"/>
          <w:szCs w:val="24"/>
        </w:rPr>
        <w:t xml:space="preserve"> skills</w:t>
      </w:r>
      <w:r w:rsidR="001E2DA5" w:rsidRPr="00577052">
        <w:rPr>
          <w:rFonts w:ascii="Times New Roman" w:hAnsi="Times New Roman" w:cs="Times New Roman"/>
          <w:color w:val="000000" w:themeColor="text1"/>
          <w:sz w:val="24"/>
          <w:szCs w:val="24"/>
        </w:rPr>
        <w:t xml:space="preserve"> and adherence behaviours</w:t>
      </w:r>
      <w:r w:rsidR="005F46C6">
        <w:rPr>
          <w:rFonts w:ascii="Times New Roman" w:hAnsi="Times New Roman" w:cs="Times New Roman"/>
          <w:color w:val="000000" w:themeColor="text1"/>
          <w:sz w:val="24"/>
          <w:szCs w:val="24"/>
        </w:rPr>
        <w:t xml:space="preserve"> in the context of ESRD</w:t>
      </w:r>
      <w:r w:rsidR="001E2DA5" w:rsidRPr="00577052">
        <w:rPr>
          <w:rFonts w:ascii="Times New Roman" w:hAnsi="Times New Roman" w:cs="Times New Roman"/>
          <w:color w:val="000000" w:themeColor="text1"/>
          <w:sz w:val="24"/>
          <w:szCs w:val="24"/>
        </w:rPr>
        <w:t>.</w:t>
      </w:r>
      <w:r w:rsidR="00C70016" w:rsidRPr="00577052">
        <w:rPr>
          <w:rFonts w:ascii="Times New Roman" w:hAnsi="Times New Roman" w:cs="Times New Roman"/>
          <w:color w:val="000000" w:themeColor="text1"/>
          <w:sz w:val="24"/>
          <w:szCs w:val="24"/>
        </w:rPr>
        <w:t xml:space="preserve"> </w:t>
      </w:r>
      <w:r w:rsidR="007D0ED9" w:rsidRPr="00577052">
        <w:rPr>
          <w:rFonts w:ascii="Times New Roman" w:hAnsi="Times New Roman" w:cs="Times New Roman"/>
          <w:color w:val="000000" w:themeColor="text1"/>
          <w:sz w:val="24"/>
          <w:szCs w:val="24"/>
        </w:rPr>
        <w:t>S</w:t>
      </w:r>
      <w:r w:rsidR="00B73C44" w:rsidRPr="00577052">
        <w:rPr>
          <w:rFonts w:ascii="Times New Roman" w:hAnsi="Times New Roman" w:cs="Times New Roman"/>
          <w:color w:val="000000" w:themeColor="text1"/>
          <w:sz w:val="24"/>
          <w:szCs w:val="24"/>
        </w:rPr>
        <w:t>uccessful s</w:t>
      </w:r>
      <w:r w:rsidR="007D0ED9" w:rsidRPr="00577052">
        <w:rPr>
          <w:rFonts w:ascii="Times New Roman" w:hAnsi="Times New Roman" w:cs="Times New Roman"/>
          <w:color w:val="000000" w:themeColor="text1"/>
          <w:sz w:val="24"/>
          <w:szCs w:val="24"/>
        </w:rPr>
        <w:t xml:space="preserve">elf-management of ESRD requires </w:t>
      </w:r>
      <w:r w:rsidR="00B73C44" w:rsidRPr="00577052">
        <w:rPr>
          <w:rFonts w:ascii="Times New Roman" w:hAnsi="Times New Roman" w:cs="Times New Roman"/>
          <w:color w:val="000000" w:themeColor="text1"/>
          <w:sz w:val="24"/>
          <w:szCs w:val="24"/>
        </w:rPr>
        <w:t>patients to</w:t>
      </w:r>
      <w:r w:rsidR="00780E27">
        <w:rPr>
          <w:rFonts w:ascii="Times New Roman" w:hAnsi="Times New Roman" w:cs="Times New Roman"/>
          <w:color w:val="000000" w:themeColor="text1"/>
          <w:sz w:val="24"/>
          <w:szCs w:val="24"/>
        </w:rPr>
        <w:t xml:space="preserve"> actively process, access and act upon health information in order to</w:t>
      </w:r>
      <w:r w:rsidR="00B73C44" w:rsidRPr="00577052">
        <w:rPr>
          <w:rFonts w:ascii="Times New Roman" w:hAnsi="Times New Roman" w:cs="Times New Roman"/>
          <w:color w:val="000000" w:themeColor="text1"/>
          <w:sz w:val="24"/>
          <w:szCs w:val="24"/>
        </w:rPr>
        <w:t xml:space="preserve"> </w:t>
      </w:r>
      <w:r w:rsidR="007D0ED9" w:rsidRPr="00577052">
        <w:rPr>
          <w:rFonts w:ascii="Times New Roman" w:hAnsi="Times New Roman" w:cs="Times New Roman"/>
          <w:color w:val="000000" w:themeColor="text1"/>
          <w:sz w:val="24"/>
          <w:szCs w:val="24"/>
        </w:rPr>
        <w:t>monitor</w:t>
      </w:r>
      <w:r w:rsidR="00780E27">
        <w:rPr>
          <w:rFonts w:ascii="Times New Roman" w:hAnsi="Times New Roman" w:cs="Times New Roman"/>
          <w:color w:val="000000" w:themeColor="text1"/>
          <w:sz w:val="24"/>
          <w:szCs w:val="24"/>
        </w:rPr>
        <w:t xml:space="preserve"> and evaluate</w:t>
      </w:r>
      <w:r w:rsidR="00443046" w:rsidRPr="00577052">
        <w:rPr>
          <w:rFonts w:ascii="Times New Roman" w:hAnsi="Times New Roman" w:cs="Times New Roman"/>
          <w:color w:val="000000" w:themeColor="text1"/>
          <w:sz w:val="24"/>
          <w:szCs w:val="24"/>
        </w:rPr>
        <w:t xml:space="preserve"> </w:t>
      </w:r>
      <w:r w:rsidR="00E25556" w:rsidRPr="00577052">
        <w:rPr>
          <w:rFonts w:ascii="Times New Roman" w:hAnsi="Times New Roman" w:cs="Times New Roman"/>
          <w:color w:val="000000" w:themeColor="text1"/>
          <w:sz w:val="24"/>
          <w:szCs w:val="24"/>
        </w:rPr>
        <w:t>t</w:t>
      </w:r>
      <w:r w:rsidR="00A83E71" w:rsidRPr="00577052">
        <w:rPr>
          <w:rFonts w:ascii="Times New Roman" w:hAnsi="Times New Roman" w:cs="Times New Roman"/>
          <w:color w:val="000000" w:themeColor="text1"/>
          <w:sz w:val="24"/>
          <w:szCs w:val="24"/>
        </w:rPr>
        <w:t>heir</w:t>
      </w:r>
      <w:r w:rsidR="007D0ED9" w:rsidRPr="00577052">
        <w:rPr>
          <w:rFonts w:ascii="Times New Roman" w:hAnsi="Times New Roman" w:cs="Times New Roman"/>
          <w:color w:val="000000" w:themeColor="text1"/>
          <w:sz w:val="24"/>
          <w:szCs w:val="24"/>
        </w:rPr>
        <w:t xml:space="preserve"> health condition (e.g., weight gain), </w:t>
      </w:r>
      <w:r w:rsidR="00780E27">
        <w:rPr>
          <w:rFonts w:ascii="Times New Roman" w:hAnsi="Times New Roman" w:cs="Times New Roman"/>
          <w:color w:val="000000" w:themeColor="text1"/>
          <w:sz w:val="24"/>
          <w:szCs w:val="24"/>
        </w:rPr>
        <w:t>manage</w:t>
      </w:r>
      <w:r w:rsidR="007D0ED9" w:rsidRPr="00577052">
        <w:rPr>
          <w:rFonts w:ascii="Times New Roman" w:hAnsi="Times New Roman" w:cs="Times New Roman"/>
          <w:color w:val="000000" w:themeColor="text1"/>
          <w:sz w:val="24"/>
          <w:szCs w:val="24"/>
        </w:rPr>
        <w:t xml:space="preserve"> symptoms, </w:t>
      </w:r>
      <w:r w:rsidR="00780E27">
        <w:rPr>
          <w:rFonts w:ascii="Times New Roman" w:hAnsi="Times New Roman" w:cs="Times New Roman"/>
          <w:color w:val="000000" w:themeColor="text1"/>
          <w:sz w:val="24"/>
          <w:szCs w:val="24"/>
        </w:rPr>
        <w:t xml:space="preserve">and effectively </w:t>
      </w:r>
      <w:r w:rsidR="00F056AD" w:rsidRPr="00577052">
        <w:rPr>
          <w:rFonts w:ascii="Times New Roman" w:hAnsi="Times New Roman" w:cs="Times New Roman"/>
          <w:color w:val="000000" w:themeColor="text1"/>
          <w:sz w:val="24"/>
          <w:szCs w:val="24"/>
        </w:rPr>
        <w:t>communicate</w:t>
      </w:r>
      <w:r w:rsidR="007D0ED9" w:rsidRPr="00577052">
        <w:rPr>
          <w:rFonts w:ascii="Times New Roman" w:hAnsi="Times New Roman" w:cs="Times New Roman"/>
          <w:color w:val="000000" w:themeColor="text1"/>
          <w:sz w:val="24"/>
          <w:szCs w:val="24"/>
        </w:rPr>
        <w:t xml:space="preserve"> with the healthcare team</w:t>
      </w:r>
      <w:r w:rsidR="00191A44" w:rsidRPr="00577052">
        <w:rPr>
          <w:rFonts w:ascii="Times New Roman" w:hAnsi="Times New Roman" w:cs="Times New Roman"/>
          <w:color w:val="000000" w:themeColor="text1"/>
          <w:sz w:val="24"/>
          <w:szCs w:val="24"/>
        </w:rPr>
        <w:t xml:space="preserve"> </w:t>
      </w:r>
      <w:r w:rsidR="007D0ED9" w:rsidRPr="00577052">
        <w:rPr>
          <w:rFonts w:ascii="Times New Roman" w:hAnsi="Times New Roman" w:cs="Times New Roman"/>
          <w:color w:val="000000" w:themeColor="text1"/>
          <w:sz w:val="24"/>
          <w:szCs w:val="24"/>
        </w:rPr>
        <w:fldChar w:fldCharType="begin" w:fldLock="1"/>
      </w:r>
      <w:r w:rsidR="00CC2D6A">
        <w:rPr>
          <w:rFonts w:ascii="Times New Roman" w:hAnsi="Times New Roman" w:cs="Times New Roman"/>
          <w:color w:val="000000" w:themeColor="text1"/>
          <w:sz w:val="24"/>
          <w:szCs w:val="24"/>
        </w:rPr>
        <w:instrText>ADDIN CSL_CITATION {"citationItems":[{"id":"ITEM-1","itemData":{"ISBN":"9780128170816","edition":"1st ed.","editor":[{"dropping-particle":"","family":"Cukor","given":"Daniel","non-dropping-particle":"","parse-names":false,"suffix":""},{"dropping-particle":"","family":"Cohen","given":"Scott D.","non-dropping-particle":"","parse-names":false,"suffix":""},{"dropping-particle":"","family":"Kimmel","given":"Paul L.","non-dropping-particle":"","parse-names":false,"suffix":""}],"id":"ITEM-1","issued":{"date-parts":[["2020"]]},"publisher":"Academic Press","title":"Psychosocial Aspects of Chronic Kidney Disease: Exploring the Impact of CKD, Dialysis, and Transplantation on Patients","type":"book"},"uris":["http://www.mendeley.com/documents/?uuid=fbfb27ee-7550-4ae1-8fc9-481b51c20806"]}],"mendeley":{"formattedCitation":"(Cukor et al., 2020)","plainTextFormattedCitation":"(Cukor et al., 2020)","previouslyFormattedCitation":"(Cukor et al., 2020)"},"properties":{"noteIndex":0},"schema":"https://github.com/citation-style-language/schema/raw/master/csl-citation.json"}</w:instrText>
      </w:r>
      <w:r w:rsidR="007D0ED9" w:rsidRPr="00577052">
        <w:rPr>
          <w:rFonts w:ascii="Times New Roman" w:hAnsi="Times New Roman" w:cs="Times New Roman"/>
          <w:color w:val="000000" w:themeColor="text1"/>
          <w:sz w:val="24"/>
          <w:szCs w:val="24"/>
        </w:rPr>
        <w:fldChar w:fldCharType="separate"/>
      </w:r>
      <w:r w:rsidR="007D6381" w:rsidRPr="007D6381">
        <w:rPr>
          <w:rFonts w:ascii="Times New Roman" w:hAnsi="Times New Roman" w:cs="Times New Roman"/>
          <w:noProof/>
          <w:color w:val="000000" w:themeColor="text1"/>
          <w:sz w:val="24"/>
          <w:szCs w:val="24"/>
        </w:rPr>
        <w:t>(Cukor et al., 2020)</w:t>
      </w:r>
      <w:r w:rsidR="007D0ED9" w:rsidRPr="00577052">
        <w:rPr>
          <w:rFonts w:ascii="Times New Roman" w:hAnsi="Times New Roman" w:cs="Times New Roman"/>
          <w:color w:val="000000" w:themeColor="text1"/>
          <w:sz w:val="24"/>
          <w:szCs w:val="24"/>
        </w:rPr>
        <w:fldChar w:fldCharType="end"/>
      </w:r>
      <w:r w:rsidR="007D0ED9" w:rsidRPr="00577052">
        <w:rPr>
          <w:rFonts w:ascii="Times New Roman" w:hAnsi="Times New Roman" w:cs="Times New Roman"/>
          <w:color w:val="000000" w:themeColor="text1"/>
          <w:sz w:val="24"/>
          <w:szCs w:val="24"/>
        </w:rPr>
        <w:t xml:space="preserve">. </w:t>
      </w:r>
      <w:r w:rsidR="009827BA">
        <w:rPr>
          <w:rFonts w:ascii="Times New Roman" w:hAnsi="Times New Roman" w:cs="Times New Roman"/>
          <w:color w:val="000000" w:themeColor="text1"/>
          <w:sz w:val="24"/>
          <w:szCs w:val="24"/>
        </w:rPr>
        <w:t xml:space="preserve">The HD regime comprises complex behaviours related to diet, fluid, and medication intake that are novel and cognitively demanding. For patients with CIs or SCCs, </w:t>
      </w:r>
      <w:r w:rsidR="001B2362">
        <w:rPr>
          <w:rFonts w:ascii="Times New Roman" w:hAnsi="Times New Roman" w:cs="Times New Roman"/>
          <w:color w:val="000000" w:themeColor="text1"/>
          <w:sz w:val="24"/>
          <w:szCs w:val="24"/>
        </w:rPr>
        <w:t>t</w:t>
      </w:r>
      <w:r w:rsidR="009827BA">
        <w:rPr>
          <w:rFonts w:ascii="Times New Roman" w:hAnsi="Times New Roman" w:cs="Times New Roman"/>
          <w:color w:val="000000" w:themeColor="text1"/>
          <w:sz w:val="24"/>
          <w:szCs w:val="24"/>
        </w:rPr>
        <w:t xml:space="preserve">hese tasks may be particularly taxing and therefore they may be less likely to </w:t>
      </w:r>
      <w:r w:rsidR="009827BA" w:rsidRPr="00577052">
        <w:rPr>
          <w:rFonts w:ascii="Times New Roman" w:hAnsi="Times New Roman" w:cs="Times New Roman"/>
          <w:color w:val="000000" w:themeColor="text1"/>
          <w:sz w:val="24"/>
          <w:szCs w:val="24"/>
        </w:rPr>
        <w:t xml:space="preserve">have </w:t>
      </w:r>
      <w:r w:rsidR="009827BA">
        <w:rPr>
          <w:rFonts w:ascii="Times New Roman" w:hAnsi="Times New Roman" w:cs="Times New Roman"/>
          <w:color w:val="000000" w:themeColor="text1"/>
          <w:sz w:val="24"/>
          <w:szCs w:val="24"/>
        </w:rPr>
        <w:t>optimal</w:t>
      </w:r>
      <w:r w:rsidR="009827BA" w:rsidRPr="00577052">
        <w:rPr>
          <w:rFonts w:ascii="Times New Roman" w:hAnsi="Times New Roman" w:cs="Times New Roman"/>
          <w:color w:val="000000" w:themeColor="text1"/>
          <w:sz w:val="24"/>
          <w:szCs w:val="24"/>
        </w:rPr>
        <w:t xml:space="preserve"> self-management</w:t>
      </w:r>
      <w:r w:rsidR="009827BA">
        <w:rPr>
          <w:rFonts w:ascii="Times New Roman" w:hAnsi="Times New Roman" w:cs="Times New Roman"/>
          <w:color w:val="000000" w:themeColor="text1"/>
          <w:sz w:val="24"/>
          <w:szCs w:val="24"/>
        </w:rPr>
        <w:t xml:space="preserve"> as limited cognitive capabilities may interfere with activation and performance of health actions and may undermine </w:t>
      </w:r>
      <w:r w:rsidR="009827BA" w:rsidRPr="00577052">
        <w:rPr>
          <w:rFonts w:ascii="Times New Roman" w:hAnsi="Times New Roman" w:cs="Times New Roman"/>
          <w:color w:val="000000" w:themeColor="text1"/>
          <w:sz w:val="24"/>
          <w:szCs w:val="24"/>
        </w:rPr>
        <w:t xml:space="preserve">self-confidence and motivation for </w:t>
      </w:r>
      <w:r w:rsidR="009827BA">
        <w:rPr>
          <w:rFonts w:ascii="Times New Roman" w:hAnsi="Times New Roman" w:cs="Times New Roman"/>
          <w:color w:val="000000" w:themeColor="text1"/>
          <w:sz w:val="24"/>
          <w:szCs w:val="24"/>
        </w:rPr>
        <w:t>self-management</w:t>
      </w:r>
      <w:r w:rsidR="0069573F" w:rsidRPr="00577052">
        <w:rPr>
          <w:rFonts w:ascii="Times New Roman" w:hAnsi="Times New Roman" w:cs="Times New Roman"/>
          <w:color w:val="000000" w:themeColor="text1"/>
          <w:sz w:val="24"/>
          <w:szCs w:val="24"/>
        </w:rPr>
        <w:t>.</w:t>
      </w:r>
      <w:r w:rsidR="00CB501C" w:rsidRPr="00577052">
        <w:rPr>
          <w:rFonts w:ascii="Times New Roman" w:hAnsi="Times New Roman" w:cs="Times New Roman"/>
          <w:color w:val="000000" w:themeColor="text1"/>
          <w:sz w:val="24"/>
          <w:szCs w:val="24"/>
        </w:rPr>
        <w:t xml:space="preserve"> </w:t>
      </w:r>
      <w:r w:rsidR="000A3CCA">
        <w:rPr>
          <w:rFonts w:ascii="Times New Roman" w:hAnsi="Times New Roman" w:cs="Times New Roman"/>
          <w:color w:val="000000" w:themeColor="text1"/>
          <w:sz w:val="24"/>
          <w:szCs w:val="24"/>
        </w:rPr>
        <w:t>Song et al</w:t>
      </w:r>
      <w:r w:rsidR="00C94704">
        <w:rPr>
          <w:rFonts w:ascii="Times New Roman" w:hAnsi="Times New Roman" w:cs="Times New Roman"/>
          <w:color w:val="000000" w:themeColor="text1"/>
          <w:sz w:val="24"/>
          <w:szCs w:val="24"/>
        </w:rPr>
        <w:t>.</w:t>
      </w:r>
      <w:r w:rsidR="000A3CCA">
        <w:rPr>
          <w:rFonts w:ascii="Times New Roman" w:hAnsi="Times New Roman" w:cs="Times New Roman"/>
          <w:color w:val="000000" w:themeColor="text1"/>
          <w:sz w:val="24"/>
          <w:szCs w:val="24"/>
        </w:rPr>
        <w:t xml:space="preserve"> </w:t>
      </w:r>
      <w:r w:rsidR="00782FD8">
        <w:rPr>
          <w:rFonts w:ascii="Times New Roman" w:hAnsi="Times New Roman" w:cs="Times New Roman"/>
          <w:color w:val="000000" w:themeColor="text1"/>
          <w:sz w:val="24"/>
          <w:szCs w:val="24"/>
        </w:rPr>
        <w:fldChar w:fldCharType="begin" w:fldLock="1"/>
      </w:r>
      <w:r w:rsidR="0013689C">
        <w:rPr>
          <w:rFonts w:ascii="Times New Roman" w:hAnsi="Times New Roman" w:cs="Times New Roman"/>
          <w:color w:val="000000" w:themeColor="text1"/>
          <w:sz w:val="24"/>
          <w:szCs w:val="24"/>
        </w:rPr>
        <w:instrText>ADDIN CSL_CITATION {"citationItems":[{"id":"ITEM-1","itemData":{"DOI":"10.1111/hdi.12202","ISSN":"15424758","PMID":"25110172","abstract":"Subjective cognitive impairment negatively affects daily functioning, health-related quality of life, and health care consumption, and is predictive of future cognitive decline in many patient populations. However, no subjective measures of multidimensional cognitive functioning have been evaluated for dialysis patients. Our purposes were to examine (1) the association between patient-reported (subjective) cognitive functioning and objective cognitive functioning and (2) the relationships between subjective and objective cognitive functioning and everyday functioning of dialysis patients. We used baseline data from an ongoing longitudinal observational study of trajectories in dialysis patients' multidimensional quality of life. One hundred thirty-five patients completed a telephone-based neuropsychological battery (Brief Test of Adult Cognition by Telephone, a measure of objective cognitive functioning), a measure of subjective cognitive functioning (Patient's Assessment of Own Functioning Inventory), and measures of everyday functioning (Activities of Daily Living [ADL] and Instrumental Activities of Daily Living [IADL] scales). After controlling for age and education, there was a modest correlation (r=0.33, P&gt;0.001) between subjective and objective cognitive functioning. Multivariate logistic regression models showed subjective, but not objective, cognitive functioning was a significant predictor of both ADLs and IADLs. The findings suggest the potential clinical value of subjective measures of cognitive functioning, not to replace objective measures or diagnostic tests, but rather to optimize the meaningfulness of clinical assessment and management.","author":[{"dropping-particle":"","family":"Song","given":"Mi-Kyung","non-dropping-particle":"","parse-names":false,"suffix":""},{"dropping-particle":"","family":"Ward","given":"Sandra E.","non-dropping-particle":"","parse-names":false,"suffix":""},{"dropping-particle":"","family":"Bair","given":"Eric","non-dropping-particle":"","parse-names":false,"suffix":""},{"dropping-particle":"","family":"Weiner","given":"Lia J.","non-dropping-particle":"","parse-names":false,"suffix":""},{"dropping-particle":"","family":"Bridgman","given":"Jessica C.","non-dropping-particle":"","parse-names":false,"suffix":""},{"dropping-particle":"","family":"Hladik","given":"Gerald A.","non-dropping-particle":"","parse-names":false,"suffix":""},{"dropping-particle":"","family":"Gilet","given":"Constance A.","non-dropping-particle":"","parse-names":false,"suffix":""}],"container-title":"Hemodialysis International","id":"ITEM-1","issued":{"date-parts":[["2015"]]},"page":"90-99","title":"Patient-reported cognitive functioning and daily functioning in chronic dialysis patients","type":"article-journal","volume":"19"},"suppress-author":1,"uris":["http://www.mendeley.com/documents/?uuid=0ef1978e-c906-4945-84e5-de9ac6c64cff"]}],"mendeley":{"formattedCitation":"(2015)","plainTextFormattedCitation":"(2015)","previouslyFormattedCitation":"(2015)"},"properties":{"noteIndex":0},"schema":"https://github.com/citation-style-language/schema/raw/master/csl-citation.json"}</w:instrText>
      </w:r>
      <w:r w:rsidR="00782FD8">
        <w:rPr>
          <w:rFonts w:ascii="Times New Roman" w:hAnsi="Times New Roman" w:cs="Times New Roman"/>
          <w:color w:val="000000" w:themeColor="text1"/>
          <w:sz w:val="24"/>
          <w:szCs w:val="24"/>
        </w:rPr>
        <w:fldChar w:fldCharType="separate"/>
      </w:r>
      <w:r w:rsidR="00782FD8" w:rsidRPr="00782FD8">
        <w:rPr>
          <w:rFonts w:ascii="Times New Roman" w:hAnsi="Times New Roman" w:cs="Times New Roman"/>
          <w:noProof/>
          <w:color w:val="000000" w:themeColor="text1"/>
          <w:sz w:val="24"/>
          <w:szCs w:val="24"/>
        </w:rPr>
        <w:t>(2015)</w:t>
      </w:r>
      <w:r w:rsidR="00782FD8">
        <w:rPr>
          <w:rFonts w:ascii="Times New Roman" w:hAnsi="Times New Roman" w:cs="Times New Roman"/>
          <w:color w:val="000000" w:themeColor="text1"/>
          <w:sz w:val="24"/>
          <w:szCs w:val="24"/>
        </w:rPr>
        <w:fldChar w:fldCharType="end"/>
      </w:r>
      <w:r w:rsidR="00BF0EE0">
        <w:rPr>
          <w:rFonts w:ascii="Times New Roman" w:hAnsi="Times New Roman" w:cs="Times New Roman"/>
          <w:color w:val="000000" w:themeColor="text1"/>
          <w:sz w:val="24"/>
          <w:szCs w:val="24"/>
        </w:rPr>
        <w:t xml:space="preserve"> </w:t>
      </w:r>
      <w:r w:rsidR="000A3CCA">
        <w:rPr>
          <w:rFonts w:ascii="Times New Roman" w:hAnsi="Times New Roman" w:cs="Times New Roman"/>
          <w:color w:val="000000" w:themeColor="text1"/>
          <w:sz w:val="24"/>
          <w:szCs w:val="24"/>
        </w:rPr>
        <w:t>found that only HD patients</w:t>
      </w:r>
      <w:r w:rsidR="00BF0EE0">
        <w:rPr>
          <w:rFonts w:ascii="Times New Roman" w:hAnsi="Times New Roman" w:cs="Times New Roman"/>
          <w:color w:val="000000" w:themeColor="text1"/>
          <w:sz w:val="24"/>
          <w:szCs w:val="24"/>
        </w:rPr>
        <w:t>’</w:t>
      </w:r>
      <w:r w:rsidR="000A3CCA">
        <w:rPr>
          <w:rFonts w:ascii="Times New Roman" w:hAnsi="Times New Roman" w:cs="Times New Roman"/>
          <w:color w:val="000000" w:themeColor="text1"/>
          <w:sz w:val="24"/>
          <w:szCs w:val="24"/>
        </w:rPr>
        <w:t xml:space="preserve"> </w:t>
      </w:r>
      <w:r w:rsidR="00BF0EE0">
        <w:rPr>
          <w:rFonts w:ascii="Times New Roman" w:hAnsi="Times New Roman" w:cs="Times New Roman"/>
          <w:color w:val="000000" w:themeColor="text1"/>
          <w:sz w:val="24"/>
          <w:szCs w:val="24"/>
        </w:rPr>
        <w:t>SCCs</w:t>
      </w:r>
      <w:r w:rsidR="000967D4" w:rsidRPr="00577052">
        <w:rPr>
          <w:rFonts w:ascii="Times New Roman" w:hAnsi="Times New Roman" w:cs="Times New Roman"/>
          <w:color w:val="000000" w:themeColor="text1"/>
          <w:sz w:val="24"/>
          <w:szCs w:val="24"/>
        </w:rPr>
        <w:t xml:space="preserve">, </w:t>
      </w:r>
      <w:r w:rsidR="000A3CCA">
        <w:rPr>
          <w:rFonts w:ascii="Times New Roman" w:hAnsi="Times New Roman" w:cs="Times New Roman"/>
          <w:color w:val="000000" w:themeColor="text1"/>
          <w:sz w:val="24"/>
          <w:szCs w:val="24"/>
        </w:rPr>
        <w:t>and</w:t>
      </w:r>
      <w:r w:rsidR="000967D4" w:rsidRPr="00577052">
        <w:rPr>
          <w:rFonts w:ascii="Times New Roman" w:hAnsi="Times New Roman" w:cs="Times New Roman"/>
          <w:color w:val="000000" w:themeColor="text1"/>
          <w:sz w:val="24"/>
          <w:szCs w:val="24"/>
        </w:rPr>
        <w:t xml:space="preserve"> not objective cognitive function, </w:t>
      </w:r>
      <w:r w:rsidR="009B7F3F">
        <w:rPr>
          <w:rFonts w:ascii="Times New Roman" w:hAnsi="Times New Roman" w:cs="Times New Roman"/>
          <w:color w:val="000000" w:themeColor="text1"/>
          <w:sz w:val="24"/>
          <w:szCs w:val="24"/>
        </w:rPr>
        <w:t xml:space="preserve">were </w:t>
      </w:r>
      <w:r w:rsidR="000A3CCA">
        <w:rPr>
          <w:rFonts w:ascii="Times New Roman" w:hAnsi="Times New Roman" w:cs="Times New Roman"/>
          <w:color w:val="000000" w:themeColor="text1"/>
          <w:sz w:val="24"/>
          <w:szCs w:val="24"/>
        </w:rPr>
        <w:t>associated</w:t>
      </w:r>
      <w:r w:rsidR="000967D4" w:rsidRPr="00577052">
        <w:rPr>
          <w:rFonts w:ascii="Times New Roman" w:hAnsi="Times New Roman" w:cs="Times New Roman"/>
          <w:color w:val="000000" w:themeColor="text1"/>
          <w:sz w:val="24"/>
          <w:szCs w:val="24"/>
        </w:rPr>
        <w:t xml:space="preserve"> with daily functioning assessed by the basic and instrumental Activities of Daily Living scale</w:t>
      </w:r>
      <w:r w:rsidR="008C1079" w:rsidRPr="00577052">
        <w:rPr>
          <w:rFonts w:ascii="Times New Roman" w:hAnsi="Times New Roman" w:cs="Times New Roman"/>
          <w:color w:val="000000" w:themeColor="text1"/>
          <w:sz w:val="24"/>
          <w:szCs w:val="24"/>
        </w:rPr>
        <w:t xml:space="preserve">. SCCs </w:t>
      </w:r>
      <w:r w:rsidR="009B7F3F">
        <w:rPr>
          <w:rFonts w:ascii="Times New Roman" w:hAnsi="Times New Roman" w:cs="Times New Roman"/>
          <w:color w:val="000000" w:themeColor="text1"/>
          <w:sz w:val="24"/>
          <w:szCs w:val="24"/>
        </w:rPr>
        <w:t xml:space="preserve">therefore, </w:t>
      </w:r>
      <w:r w:rsidR="008C1079" w:rsidRPr="00577052">
        <w:rPr>
          <w:rFonts w:ascii="Times New Roman" w:hAnsi="Times New Roman" w:cs="Times New Roman"/>
          <w:color w:val="000000" w:themeColor="text1"/>
          <w:sz w:val="24"/>
          <w:szCs w:val="24"/>
        </w:rPr>
        <w:t>may</w:t>
      </w:r>
      <w:r w:rsidR="000A3CCA">
        <w:rPr>
          <w:rFonts w:ascii="Times New Roman" w:hAnsi="Times New Roman" w:cs="Times New Roman"/>
          <w:color w:val="000000" w:themeColor="text1"/>
          <w:sz w:val="24"/>
          <w:szCs w:val="24"/>
        </w:rPr>
        <w:t xml:space="preserve"> </w:t>
      </w:r>
      <w:r w:rsidR="008C1079" w:rsidRPr="00577052">
        <w:rPr>
          <w:rFonts w:ascii="Times New Roman" w:hAnsi="Times New Roman" w:cs="Times New Roman"/>
          <w:color w:val="000000" w:themeColor="text1"/>
          <w:sz w:val="24"/>
          <w:szCs w:val="24"/>
        </w:rPr>
        <w:t xml:space="preserve">have </w:t>
      </w:r>
      <w:r w:rsidR="009B7F3F" w:rsidRPr="00577052">
        <w:rPr>
          <w:rFonts w:ascii="Times New Roman" w:hAnsi="Times New Roman" w:cs="Times New Roman"/>
          <w:color w:val="000000" w:themeColor="text1"/>
          <w:sz w:val="24"/>
          <w:szCs w:val="24"/>
        </w:rPr>
        <w:t>additi</w:t>
      </w:r>
      <w:r w:rsidR="009B7F3F">
        <w:rPr>
          <w:rFonts w:ascii="Times New Roman" w:hAnsi="Times New Roman" w:cs="Times New Roman"/>
          <w:color w:val="000000" w:themeColor="text1"/>
          <w:sz w:val="24"/>
          <w:szCs w:val="24"/>
        </w:rPr>
        <w:t>onal</w:t>
      </w:r>
      <w:r w:rsidR="009B7F3F" w:rsidRPr="00577052">
        <w:rPr>
          <w:rFonts w:ascii="Times New Roman" w:hAnsi="Times New Roman" w:cs="Times New Roman"/>
          <w:color w:val="000000" w:themeColor="text1"/>
          <w:sz w:val="24"/>
          <w:szCs w:val="24"/>
        </w:rPr>
        <w:t xml:space="preserve"> </w:t>
      </w:r>
      <w:r w:rsidR="008C1079" w:rsidRPr="00577052">
        <w:rPr>
          <w:rFonts w:ascii="Times New Roman" w:hAnsi="Times New Roman" w:cs="Times New Roman"/>
          <w:color w:val="000000" w:themeColor="text1"/>
          <w:sz w:val="24"/>
          <w:szCs w:val="24"/>
        </w:rPr>
        <w:t>utility on top of objective tests in predicting real-world outcomes.</w:t>
      </w:r>
    </w:p>
    <w:p w14:paraId="2EECB960" w14:textId="35454C79" w:rsidR="00A854F1" w:rsidRPr="00A854F1" w:rsidRDefault="009B7F3F" w:rsidP="00907CB8">
      <w:pPr>
        <w:pStyle w:val="CommentText"/>
        <w:spacing w:line="480" w:lineRule="auto"/>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854F1" w:rsidRPr="00A854F1">
        <w:rPr>
          <w:rFonts w:ascii="Times New Roman" w:hAnsi="Times New Roman" w:cs="Times New Roman"/>
          <w:color w:val="000000" w:themeColor="text1"/>
          <w:sz w:val="24"/>
          <w:szCs w:val="24"/>
        </w:rPr>
        <w:t xml:space="preserve">he longitudinal course of cognition over the HD treatment course is </w:t>
      </w:r>
      <w:r>
        <w:rPr>
          <w:rFonts w:ascii="Times New Roman" w:hAnsi="Times New Roman" w:cs="Times New Roman"/>
          <w:color w:val="000000" w:themeColor="text1"/>
          <w:sz w:val="24"/>
          <w:szCs w:val="24"/>
        </w:rPr>
        <w:t xml:space="preserve">currently </w:t>
      </w:r>
      <w:r w:rsidR="00A854F1" w:rsidRPr="00A854F1">
        <w:rPr>
          <w:rFonts w:ascii="Times New Roman" w:hAnsi="Times New Roman" w:cs="Times New Roman"/>
          <w:color w:val="000000" w:themeColor="text1"/>
          <w:sz w:val="24"/>
          <w:szCs w:val="24"/>
        </w:rPr>
        <w:t xml:space="preserve">not well understood. While several longitudinal studies investigated changes in objective </w:t>
      </w:r>
      <w:r w:rsidR="00A854F1" w:rsidRPr="00A854F1">
        <w:rPr>
          <w:rFonts w:ascii="Times New Roman" w:hAnsi="Times New Roman" w:cs="Times New Roman"/>
          <w:color w:val="000000" w:themeColor="text1"/>
          <w:sz w:val="24"/>
          <w:szCs w:val="24"/>
        </w:rPr>
        <w:lastRenderedPageBreak/>
        <w:t xml:space="preserve">neuropsychological test performance over time in HD patients, evidence is mixed. One study noted a significant loss of executive function in incident </w:t>
      </w:r>
      <w:r w:rsidR="00D438C3">
        <w:rPr>
          <w:rFonts w:ascii="Times New Roman" w:hAnsi="Times New Roman" w:cs="Times New Roman"/>
          <w:color w:val="000000" w:themeColor="text1"/>
          <w:sz w:val="24"/>
          <w:szCs w:val="24"/>
        </w:rPr>
        <w:t>dialysis</w:t>
      </w:r>
      <w:r w:rsidR="004223D0">
        <w:rPr>
          <w:rFonts w:ascii="Times New Roman" w:hAnsi="Times New Roman" w:cs="Times New Roman"/>
          <w:color w:val="000000" w:themeColor="text1"/>
          <w:sz w:val="24"/>
          <w:szCs w:val="24"/>
        </w:rPr>
        <w:t xml:space="preserve"> </w:t>
      </w:r>
      <w:r w:rsidR="00A854F1" w:rsidRPr="00A854F1">
        <w:rPr>
          <w:rFonts w:ascii="Times New Roman" w:hAnsi="Times New Roman" w:cs="Times New Roman"/>
          <w:color w:val="000000" w:themeColor="text1"/>
          <w:sz w:val="24"/>
          <w:szCs w:val="24"/>
        </w:rPr>
        <w:t xml:space="preserve">patients following dialysis initiation </w:t>
      </w:r>
      <w:r w:rsidR="00A854F1" w:rsidRPr="00A854F1">
        <w:rPr>
          <w:rFonts w:ascii="Times New Roman" w:hAnsi="Times New Roman" w:cs="Times New Roman"/>
          <w:color w:val="000000" w:themeColor="text1"/>
          <w:sz w:val="24"/>
          <w:szCs w:val="24"/>
        </w:rPr>
        <w:fldChar w:fldCharType="begin" w:fldLock="1"/>
      </w:r>
      <w:r w:rsidR="00A854F1" w:rsidRPr="00A854F1">
        <w:rPr>
          <w:rFonts w:ascii="Times New Roman" w:hAnsi="Times New Roman" w:cs="Times New Roman"/>
          <w:color w:val="000000" w:themeColor="text1"/>
          <w:sz w:val="24"/>
          <w:szCs w:val="24"/>
        </w:rPr>
        <w:instrText>ADDIN CSL_CITATION {"citationItems":[{"id":"ITEM-1","itemData":{"DOI":"10.1016/j.kint.2016.11.015","ISSN":"15231755","PMID":"28139292","abstract":"The association of dialysis initiation with changes in cognitive function among patients with advanced chronic kidney disease is poorly described. To better define this, we enrolled participants with advanced chronic kidney disease from the Chronic Renal Insufficiency Cohort in a prospective study of cognitive function. Eligible participants had a glomerular filtration rate of 20 ml/min/1.73m2 or less, or dialysis initiation within the past two years. We evaluated cognitive function by a validated telephone battery at regular intervals over two years and analyzed test scores as z scores. Of 212 participants, 123 did not transition to dialysis during follow-up, 37 transitioned to dialysis after baseline, and 52 transitioned to dialysis prior to baseline. In adjusted analyses, the transition to dialysis was associated with a significant loss of executive function, but no significant changes in global cognition or memory. The estimated net difference in cognitive z scores at two years for participants who transitioned to dialysis during follow-up compared to participants who did not transition to dialysis was –0.01 (95% confidence interval –0.13, 0.11) for global cognition, –0.24 (–0.51, 0.03) for memory, and –0.33 (–0.60, –0.07) for executive function. Thus, among adults with advanced chronic kidney disease, dialysis initiation was associated with loss of executive function with no change in other aspects of cognition. Larger studies are needed to evaluate cognition during dialysis initiation.","author":[{"dropping-particle":"","family":"Kurella Tamura","given":"Manjula","non-dropping-particle":"","parse-names":false,"suffix":""},{"dropping-particle":"","family":"Vittinghoff","given":"Eric","non-dropping-particle":"","parse-names":false,"suffix":""},{"dropping-particle":"","family":"Hsu","given":"Chi-yuan","non-dropping-particle":"","parse-names":false,"suffix":""},{"dropping-particle":"","family":"Tam","given":"Karman","non-dropping-particle":"","parse-names":false,"suffix":""},{"dropping-particle":"","family":"Seliger","given":"Stephen L.","non-dropping-particle":"","parse-names":false,"suffix":""},{"dropping-particle":"","family":"Sozio","given":"Stephen","non-dropping-particle":"","parse-names":false,"suffix":""},{"dropping-particle":"","family":"Fischer","given":"Michael","non-dropping-particle":"","parse-names":false,"suffix":""},{"dropping-particle":"","family":"Chen","given":"Jing","non-dropping-particle":"","parse-names":false,"suffix":""},{"dropping-particle":"","family":"Lustigova","given":"Eva","non-dropping-particle":"","parse-names":false,"suffix":""},{"dropping-particle":"","family":"Strauss","given":"Louise","non-dropping-particle":"","parse-names":false,"suffix":""},{"dropping-particle":"","family":"Deo","given":"Rajat","non-dropping-particle":"","parse-names":false,"suffix":""},{"dropping-particle":"","family":"Go","given":"Alan S.","non-dropping-particle":"","parse-names":false,"suffix":""},{"dropping-particle":"","family":"Yaffe","given":"Kristine","non-dropping-particle":"","parse-names":false,"suffix":""}],"container-title":"Kidney International","id":"ITEM-1","issued":{"date-parts":[["2017"]]},"page":"948-953","title":"Loss of executive function after dialysis initiation in adults with chronic kidney disease","type":"article-journal","volume":"91"},"uris":["http://www.mendeley.com/documents/?uuid=bb2f01f5-9e58-4c32-a894-29e2c70e8ad4"]}],"mendeley":{"formattedCitation":"(Kurella Tamura et al., 2017)","plainTextFormattedCitation":"(Kurella Tamura et al., 2017)","previouslyFormattedCitation":"(Kurella Tamura et al., 2017)"},"properties":{"noteIndex":0},"schema":"https://github.com/citation-style-language/schema/raw/master/csl-citation.json"}</w:instrText>
      </w:r>
      <w:r w:rsidR="00A854F1" w:rsidRPr="00A854F1">
        <w:rPr>
          <w:rFonts w:ascii="Times New Roman" w:hAnsi="Times New Roman" w:cs="Times New Roman"/>
          <w:color w:val="000000" w:themeColor="text1"/>
          <w:sz w:val="24"/>
          <w:szCs w:val="24"/>
        </w:rPr>
        <w:fldChar w:fldCharType="separate"/>
      </w:r>
      <w:r w:rsidR="00A854F1" w:rsidRPr="00A854F1">
        <w:rPr>
          <w:rFonts w:ascii="Times New Roman" w:hAnsi="Times New Roman" w:cs="Times New Roman"/>
          <w:noProof/>
          <w:color w:val="000000" w:themeColor="text1"/>
          <w:sz w:val="24"/>
          <w:szCs w:val="24"/>
        </w:rPr>
        <w:t>(Kurella Tamura et al., 2017)</w:t>
      </w:r>
      <w:r w:rsidR="00A854F1" w:rsidRPr="00A854F1">
        <w:rPr>
          <w:rFonts w:ascii="Times New Roman" w:hAnsi="Times New Roman" w:cs="Times New Roman"/>
          <w:color w:val="000000" w:themeColor="text1"/>
          <w:sz w:val="24"/>
          <w:szCs w:val="24"/>
        </w:rPr>
        <w:fldChar w:fldCharType="end"/>
      </w:r>
      <w:r w:rsidR="004223D0">
        <w:rPr>
          <w:rFonts w:ascii="Times New Roman" w:hAnsi="Times New Roman" w:cs="Times New Roman"/>
          <w:color w:val="000000" w:themeColor="text1"/>
          <w:sz w:val="24"/>
          <w:szCs w:val="24"/>
        </w:rPr>
        <w:t xml:space="preserve"> and studies on prevalent </w:t>
      </w:r>
      <w:r w:rsidR="00D438C3">
        <w:rPr>
          <w:rFonts w:ascii="Times New Roman" w:hAnsi="Times New Roman" w:cs="Times New Roman"/>
          <w:color w:val="000000" w:themeColor="text1"/>
          <w:sz w:val="24"/>
          <w:szCs w:val="24"/>
        </w:rPr>
        <w:t>dialysis</w:t>
      </w:r>
      <w:r w:rsidR="004223D0">
        <w:rPr>
          <w:rFonts w:ascii="Times New Roman" w:hAnsi="Times New Roman" w:cs="Times New Roman"/>
          <w:color w:val="000000" w:themeColor="text1"/>
          <w:sz w:val="24"/>
          <w:szCs w:val="24"/>
        </w:rPr>
        <w:t xml:space="preserve"> patients reported decline in</w:t>
      </w:r>
      <w:r w:rsidR="00A854F1" w:rsidRPr="00A854F1">
        <w:rPr>
          <w:rFonts w:ascii="Times New Roman" w:hAnsi="Times New Roman" w:cs="Times New Roman"/>
          <w:color w:val="000000" w:themeColor="text1"/>
          <w:sz w:val="24"/>
          <w:szCs w:val="24"/>
        </w:rPr>
        <w:t xml:space="preserve"> </w:t>
      </w:r>
      <w:r w:rsidR="00D438C3">
        <w:rPr>
          <w:rFonts w:ascii="Times New Roman" w:hAnsi="Times New Roman" w:cs="Times New Roman"/>
          <w:color w:val="000000" w:themeColor="text1"/>
          <w:sz w:val="24"/>
          <w:szCs w:val="24"/>
        </w:rPr>
        <w:t>global cognition</w:t>
      </w:r>
      <w:r w:rsidR="00BB442B">
        <w:rPr>
          <w:rFonts w:ascii="Times New Roman" w:hAnsi="Times New Roman" w:cs="Times New Roman"/>
          <w:color w:val="000000" w:themeColor="text1"/>
          <w:sz w:val="24"/>
          <w:szCs w:val="24"/>
        </w:rPr>
        <w:t xml:space="preserve"> over</w:t>
      </w:r>
      <w:r w:rsidR="004223D0">
        <w:rPr>
          <w:rFonts w:ascii="Times New Roman" w:hAnsi="Times New Roman" w:cs="Times New Roman"/>
          <w:color w:val="000000" w:themeColor="text1"/>
          <w:sz w:val="24"/>
          <w:szCs w:val="24"/>
        </w:rPr>
        <w:t xml:space="preserve"> </w:t>
      </w:r>
      <w:r w:rsidR="00AB1A0A">
        <w:rPr>
          <w:rFonts w:ascii="Times New Roman" w:hAnsi="Times New Roman" w:cs="Times New Roman"/>
          <w:color w:val="000000" w:themeColor="text1"/>
          <w:sz w:val="24"/>
          <w:szCs w:val="24"/>
        </w:rPr>
        <w:t xml:space="preserve">one </w:t>
      </w:r>
      <w:r w:rsidR="00BF1913">
        <w:rPr>
          <w:rFonts w:ascii="Times New Roman" w:hAnsi="Times New Roman" w:cs="Times New Roman"/>
          <w:color w:val="000000" w:themeColor="text1"/>
          <w:sz w:val="24"/>
          <w:szCs w:val="24"/>
        </w:rPr>
        <w:fldChar w:fldCharType="begin" w:fldLock="1"/>
      </w:r>
      <w:r w:rsidR="00BF1913">
        <w:rPr>
          <w:rFonts w:ascii="Times New Roman" w:hAnsi="Times New Roman" w:cs="Times New Roman"/>
          <w:color w:val="000000" w:themeColor="text1"/>
          <w:sz w:val="24"/>
          <w:szCs w:val="24"/>
        </w:rPr>
        <w:instrText>ADDIN CSL_CITATION {"citationItems":[{"id":"ITEM-1","itemData":{"DOI":"10.1016/j.jpsychores.2011.01.001","ISSN":"00223999","PMID":"21665013","abstract":"Objective: Cognitive impairment is relatively common in end-stage renal disease patients on chronic hemodialysis, but the course of cognitive function deterioration in hemodialysis patients is essentially unknown. The present study aimed to evaluate if changes in Mini Mental State Examination (MMSE) over time in hemodialysis (HDP) and elderly (EP) patients differ significantly and determine the variables associated with such possible changes. Methods: In 80 HDP and 160 EP, the MMSE was assessed at baseline and after 1 year. Patients were stratified at baseline and at 1 year into three groups according to the MMSE: normal cognitive function &gt;23; mild-moderate cognitive dysfunction: 18-23; severe cognitive dysfunction: &lt;18. Univariate and multivariate analyses were performed to determine the variables associated with MMSE change over time. Results: One-year median reduction of MMSE was greater in HDP (from 24 to 21) than in EP (from 26 to 25) (P&lt;.0001). A higher percentage of HDP than EP switched from normal to mild-moderate or severe MMSE group (P&lt;.0001). At baseline, MMSE was negatively correlated with hypertension (P=.013), angina (P=.007) and Beck Depression Inventory (P=.041) and positively correlated with education (P=.017) and male gender (P=.015). No factors were found to be significantly associated with change of MMSE between baseline and month 12 in HDP. Conclusion: One-year MMSE reduction was greater in HDP that in EP. No factors were associated with MMSE reduction in HDP. However, it remains likely that cardiovascular comorbidities and low haemoglobin levels are related to such decline. © 2010 Elsevier Inc.","author":[{"dropping-particle":"","family":"Bossola","given":"Maurizio","non-dropping-particle":"","parse-names":false,"suffix":""},{"dropping-particle":"","family":"Antocicco","given":"Manuela","non-dropping-particle":"","parse-names":false,"suffix":""},{"dropping-particle":"","family":"Stasio","given":"Enrico","non-dropping-particle":"Di","parse-names":false,"suffix":""},{"dropping-particle":"","family":"Ciciarelli","given":"Claudia","non-dropping-particle":"","parse-names":false,"suffix":""},{"dropping-particle":"","family":"Luciani","given":"Giovanna","non-dropping-particle":"","parse-names":false,"suffix":""},{"dropping-particle":"","family":"Tazza","given":"Luigi","non-dropping-particle":"","parse-names":false,"suffix":""},{"dropping-particle":"","family":"Rosa","given":"Fausto","non-dropping-particle":"","parse-names":false,"suffix":""},{"dropping-particle":"","family":"Onder","given":"Graziano","non-dropping-particle":"","parse-names":false,"suffix":""}],"container-title":"Journal of Psychosomatic Research","id":"ITEM-1","issued":{"date-parts":[["2011"]]},"page":"50-54","publisher":"Elsevier Inc.","title":"Mini Mental State Examination over time in chronic hemodialysis patients","type":"article-journal","volume":"71"},"uris":["http://www.mendeley.com/documents/?uuid=5b11909c-1a72-4ac5-a365-9c4a13824372"]}],"mendeley":{"formattedCitation":"(Bossola et al., 2011)","plainTextFormattedCitation":"(Bossola et al., 2011)","previouslyFormattedCitation":"(Bossola et al., 2011)"},"properties":{"noteIndex":0},"schema":"https://github.com/citation-style-language/schema/raw/master/csl-citation.json"}</w:instrText>
      </w:r>
      <w:r w:rsidR="00BF1913">
        <w:rPr>
          <w:rFonts w:ascii="Times New Roman" w:hAnsi="Times New Roman" w:cs="Times New Roman"/>
          <w:color w:val="000000" w:themeColor="text1"/>
          <w:sz w:val="24"/>
          <w:szCs w:val="24"/>
        </w:rPr>
        <w:fldChar w:fldCharType="separate"/>
      </w:r>
      <w:r w:rsidR="00BF1913" w:rsidRPr="00BF1913">
        <w:rPr>
          <w:rFonts w:ascii="Times New Roman" w:hAnsi="Times New Roman" w:cs="Times New Roman"/>
          <w:noProof/>
          <w:color w:val="000000" w:themeColor="text1"/>
          <w:sz w:val="24"/>
          <w:szCs w:val="24"/>
        </w:rPr>
        <w:t>(Bossola et al., 2011)</w:t>
      </w:r>
      <w:r w:rsidR="00BF1913">
        <w:rPr>
          <w:rFonts w:ascii="Times New Roman" w:hAnsi="Times New Roman" w:cs="Times New Roman"/>
          <w:color w:val="000000" w:themeColor="text1"/>
          <w:sz w:val="24"/>
          <w:szCs w:val="24"/>
        </w:rPr>
        <w:fldChar w:fldCharType="end"/>
      </w:r>
      <w:r w:rsidR="00BF1913">
        <w:rPr>
          <w:rFonts w:ascii="Times New Roman" w:hAnsi="Times New Roman" w:cs="Times New Roman"/>
          <w:color w:val="000000" w:themeColor="text1"/>
          <w:sz w:val="24"/>
          <w:szCs w:val="24"/>
        </w:rPr>
        <w:t xml:space="preserve"> and</w:t>
      </w:r>
      <w:r w:rsidR="00AB1A0A">
        <w:rPr>
          <w:rFonts w:ascii="Times New Roman" w:hAnsi="Times New Roman" w:cs="Times New Roman"/>
          <w:color w:val="000000" w:themeColor="text1"/>
          <w:sz w:val="24"/>
          <w:szCs w:val="24"/>
        </w:rPr>
        <w:t xml:space="preserve"> </w:t>
      </w:r>
      <w:r w:rsidR="00134F86">
        <w:rPr>
          <w:rFonts w:ascii="Times New Roman" w:hAnsi="Times New Roman" w:cs="Times New Roman"/>
          <w:color w:val="000000" w:themeColor="text1"/>
          <w:sz w:val="24"/>
          <w:szCs w:val="24"/>
        </w:rPr>
        <w:t xml:space="preserve">two </w:t>
      </w:r>
      <w:r w:rsidR="00AB1A0A">
        <w:rPr>
          <w:rFonts w:ascii="Times New Roman" w:hAnsi="Times New Roman" w:cs="Times New Roman"/>
          <w:color w:val="000000" w:themeColor="text1"/>
          <w:sz w:val="24"/>
          <w:szCs w:val="24"/>
        </w:rPr>
        <w:t xml:space="preserve">years </w:t>
      </w:r>
      <w:r w:rsidR="00A854F1" w:rsidRPr="00A854F1">
        <w:rPr>
          <w:rFonts w:ascii="Times New Roman" w:hAnsi="Times New Roman" w:cs="Times New Roman"/>
          <w:color w:val="000000" w:themeColor="text1"/>
          <w:sz w:val="24"/>
          <w:szCs w:val="24"/>
        </w:rPr>
        <w:fldChar w:fldCharType="begin" w:fldLock="1"/>
      </w:r>
      <w:r w:rsidR="00FC0103">
        <w:rPr>
          <w:rFonts w:ascii="Times New Roman" w:hAnsi="Times New Roman" w:cs="Times New Roman"/>
          <w:color w:val="000000" w:themeColor="text1"/>
          <w:sz w:val="24"/>
          <w:szCs w:val="24"/>
        </w:rPr>
        <w:instrText>ADDIN CSL_CITATION {"citationItems":[{"id":"ITEM-1","itemData":{"DOI":"10.1093/ckj/sfw128","ISSN":"20488513","abstract":"Background: Cognitive impairment commonly affects renal patients. But little is known about the influence of dialysis modality on cognitive trends or the influence of cognitive impairment on decision-making in renal patients. This study evaluated cognitive trends amongst chronic kidney disease (CKD), haemodialysis (HD) and peritoneal dialysis (PD) patients. The relationship between cognitive impairment and decision-making capacity (DMC) was also assessed. Methods: Patients were recruited from three outpatient clinics. Cognitive function was assessed 4-monthly for up to 2 years, using the Montreal Cognitive Assessment (MoCA) tool. Cognitive trends were assessed using mixed model analysis. DMC was assessed using the Macarthur Competency Assessment tool (MacCAT-T). MacCAT-T scores were compared between patients with cognitive impairment (MoCA&lt;26) and those without. Results: In total, 102 (41HD, 25 PD and 36 CKD) patients were recruited into the prospective study. Aftermultivariate analysis, the total MoCA scores declined faster in dialysis compared with CKD patients [coefficient=-0.03, 95% confidence interval (95% CI)=-0.056 to-0.004; P =0.025]. The MoCA executive scores declined faster in the HD compared with PD patients (coefficient =-0.12, 95% CI=-0.233 to-0.007; P=0.037). DMC was assessed in 10 patients. Those with cognitive impairment had lower MacCAT-T compared with those without [median (interquartile range) 19 (17.9-19.6) versus 17.4 (16.3-18.4); P=0.049]. Conclusions: Cognition declines faster in dialysis patients compared with CKD patients and in HD patients compared with PD patients. Cognitive impairment affects DMC in patients with advanced kidney disease.","author":[{"dropping-particle":"","family":"Iyasere","given":"Osasuyi","non-dropping-particle":"","parse-names":false,"suffix":""},{"dropping-particle":"","family":"Okai","given":"David","non-dropping-particle":"","parse-names":false,"suffix":""},{"dropping-particle":"","family":"Brown","given":"Edwina","non-dropping-particle":"","parse-names":false,"suffix":""}],"container-title":"Clinical Kidney Journal","id":"ITEM-1","issue":"1","issued":{"date-parts":[["2017"]]},"page":"89-94","title":"Cognitive function and advanced kidney disease: longitudinal trends and impact on decision-making","type":"article-journal","volume":"10"},"uris":["http://www.mendeley.com/documents/?uuid=2adfa909-4234-4fd9-9e85-f04f098fcb15"]}],"mendeley":{"formattedCitation":"(Iyasere et al., 2017)","plainTextFormattedCitation":"(Iyasere et al., 2017)","previouslyFormattedCitation":"(Iyasere et al., 2017)"},"properties":{"noteIndex":0},"schema":"https://github.com/citation-style-language/schema/raw/master/csl-citation.json"}</w:instrText>
      </w:r>
      <w:r w:rsidR="00A854F1" w:rsidRPr="00A854F1">
        <w:rPr>
          <w:rFonts w:ascii="Times New Roman" w:hAnsi="Times New Roman" w:cs="Times New Roman"/>
          <w:color w:val="000000" w:themeColor="text1"/>
          <w:sz w:val="24"/>
          <w:szCs w:val="24"/>
        </w:rPr>
        <w:fldChar w:fldCharType="separate"/>
      </w:r>
      <w:r w:rsidR="00BF1913" w:rsidRPr="00BF1913">
        <w:rPr>
          <w:rFonts w:ascii="Times New Roman" w:hAnsi="Times New Roman" w:cs="Times New Roman"/>
          <w:noProof/>
          <w:color w:val="000000" w:themeColor="text1"/>
          <w:sz w:val="24"/>
          <w:szCs w:val="24"/>
        </w:rPr>
        <w:t>(Iyasere et al., 2017)</w:t>
      </w:r>
      <w:r w:rsidR="00A854F1" w:rsidRPr="00A854F1">
        <w:rPr>
          <w:rFonts w:ascii="Times New Roman" w:hAnsi="Times New Roman" w:cs="Times New Roman"/>
          <w:color w:val="000000" w:themeColor="text1"/>
          <w:sz w:val="24"/>
          <w:szCs w:val="24"/>
        </w:rPr>
        <w:fldChar w:fldCharType="end"/>
      </w:r>
      <w:r w:rsidR="00A854F1" w:rsidRPr="00A854F1">
        <w:rPr>
          <w:rFonts w:ascii="Times New Roman" w:hAnsi="Times New Roman" w:cs="Times New Roman"/>
          <w:color w:val="000000" w:themeColor="text1"/>
          <w:sz w:val="24"/>
          <w:szCs w:val="24"/>
        </w:rPr>
        <w:t>.</w:t>
      </w:r>
      <w:r w:rsidR="004223D0">
        <w:rPr>
          <w:rFonts w:ascii="Times New Roman" w:hAnsi="Times New Roman" w:cs="Times New Roman"/>
          <w:color w:val="000000" w:themeColor="text1"/>
          <w:sz w:val="24"/>
          <w:szCs w:val="24"/>
        </w:rPr>
        <w:t xml:space="preserve"> Murali et al</w:t>
      </w:r>
      <w:r w:rsidR="00174CA4">
        <w:rPr>
          <w:rFonts w:ascii="Times New Roman" w:hAnsi="Times New Roman" w:cs="Times New Roman"/>
          <w:color w:val="000000" w:themeColor="text1"/>
          <w:sz w:val="24"/>
          <w:szCs w:val="24"/>
        </w:rPr>
        <w:t>.</w:t>
      </w:r>
      <w:r w:rsidR="004223D0">
        <w:rPr>
          <w:rFonts w:ascii="Times New Roman" w:hAnsi="Times New Roman" w:cs="Times New Roman"/>
          <w:color w:val="000000" w:themeColor="text1"/>
          <w:sz w:val="24"/>
          <w:szCs w:val="24"/>
        </w:rPr>
        <w:t xml:space="preserve"> </w:t>
      </w:r>
      <w:r w:rsidR="00FC0103">
        <w:rPr>
          <w:rFonts w:ascii="Times New Roman" w:hAnsi="Times New Roman" w:cs="Times New Roman"/>
          <w:color w:val="000000" w:themeColor="text1"/>
          <w:sz w:val="24"/>
          <w:szCs w:val="24"/>
        </w:rPr>
        <w:fldChar w:fldCharType="begin" w:fldLock="1"/>
      </w:r>
      <w:r w:rsidR="00FC0103">
        <w:rPr>
          <w:rFonts w:ascii="Times New Roman" w:hAnsi="Times New Roman" w:cs="Times New Roman"/>
          <w:color w:val="000000" w:themeColor="text1"/>
          <w:sz w:val="24"/>
          <w:szCs w:val="24"/>
        </w:rPr>
        <w:instrText>ADDIN CSL_CITATION {"citationItems":[{"id":"ITEM-1","itemData":{"DOI":"10.1371/journal.pone.0252237","ISBN":"1111111111","ISSN":"19326203","PMID":"34033657","abstract":"Introduction Prevalence of cognitive impairment increases with worsening severity of chronic kidney disease (CKD) and majority of end-stage kidney disease (ESKD) patients on dialysis have cognitive impairment. Trends of cognitive function (CF) in this population are less well known with published studies reporting conflicting results. Methods We assessed CF in a cohort of non-dialysis CKD and ESKD patients undergoing dialysis using modified mini-mental state examination (3MS), trail-making test (TMT-A &amp; B) scores and Stroop task, and evaluated demographics, comorbidities and depression using Beck depression inventory at baseline. We repeated tests of CF and depression ? 1-year after baseline in both groups and compared change scores in CF and depression between ESKD/CKD sub-groups. Among ESKD patients we compared change scores between patients with dialysis vintage of &lt;1-year and &gt;1-year. Analysis of covariance was used to adjust for the effect of age on these change scores. Results At baseline (N = 211), compared to CKD (N = 108), ESKD (N = 103) patients had significantly worse CF based on 3MS and TMT-A &amp; B scores, and depression scores. On followup (N = 160) 3MS scores, especially the memory subscale significantly improved in ESKD, but worsened in CKD, with no significant changes in TMT A/TMT-B, or depression scores after adjusting for age. Among ESKD patients, 3MS, especially memory subscale improved in patients with dialysis vintage &lt;1-year compared to &gt;1-year. The 51 patients who discontinued after baseline assessment had worse baseline CF scores suggesting differential attrition. Conclusion Though baseline cognitive scores were worse in ESKD patients on dialysis, compared to CKD, their 3MS, especially memory subscale improved on follow-up. Among ESKD patients, the improvement was significant only in patients who have been on dialysis for less than one-year which may indicate a beneficial effect of clearance of uraemic toxins. Differential attrition of study subjects may have impacted the observed results","author":[{"dropping-particle":"","family":"Murali","given":"Karumathil M.","non-dropping-particle":"","parse-names":false,"suffix":""},{"dropping-particle":"","family":"Mullan","given":"Judy","non-dropping-particle":"","parse-names":false,"suffix":""},{"dropping-particle":"","family":"Roodenrys","given":"Steven","non-dropping-particle":"","parse-names":false,"suffix":""},{"dropping-particle":"","family":"Hassan","given":"Hicham I.Cheikh","non-dropping-particle":"","parse-names":false,"suffix":""},{"dropping-particle":"","family":"Lonergan","given":"Maureen","non-dropping-particle":"","parse-names":false,"suffix":""}],"container-title":"PLoS ONE","id":"ITEM-1","issue":"5","issued":{"date-parts":[["2021"]]},"page":"e0252237","title":"Changes in measures of cognitive function in patients with end-stage kidney disease on dialysis and the effect of dialysis vintage: A longitudinal cohort study","type":"article-journal","volume":"16"},"suppress-author":1,"uris":["http://www.mendeley.com/documents/?uuid=c606211d-1327-4994-8d45-f885e06da81d"]}],"mendeley":{"formattedCitation":"(2021)","plainTextFormattedCitation":"(2021)","previouslyFormattedCitation":"(Murali et al., 2021)"},"properties":{"noteIndex":0},"schema":"https://github.com/citation-style-language/schema/raw/master/csl-citation.json"}</w:instrText>
      </w:r>
      <w:r w:rsidR="00FC0103">
        <w:rPr>
          <w:rFonts w:ascii="Times New Roman" w:hAnsi="Times New Roman" w:cs="Times New Roman"/>
          <w:color w:val="000000" w:themeColor="text1"/>
          <w:sz w:val="24"/>
          <w:szCs w:val="24"/>
        </w:rPr>
        <w:fldChar w:fldCharType="separate"/>
      </w:r>
      <w:r w:rsidR="00FC0103" w:rsidRPr="00FC0103">
        <w:rPr>
          <w:rFonts w:ascii="Times New Roman" w:hAnsi="Times New Roman" w:cs="Times New Roman"/>
          <w:noProof/>
          <w:color w:val="000000" w:themeColor="text1"/>
          <w:sz w:val="24"/>
          <w:szCs w:val="24"/>
        </w:rPr>
        <w:t>(2021)</w:t>
      </w:r>
      <w:r w:rsidR="00FC0103">
        <w:rPr>
          <w:rFonts w:ascii="Times New Roman" w:hAnsi="Times New Roman" w:cs="Times New Roman"/>
          <w:color w:val="000000" w:themeColor="text1"/>
          <w:sz w:val="24"/>
          <w:szCs w:val="24"/>
        </w:rPr>
        <w:fldChar w:fldCharType="end"/>
      </w:r>
      <w:r w:rsidR="00A57A65">
        <w:rPr>
          <w:rFonts w:ascii="Times New Roman" w:hAnsi="Times New Roman" w:cs="Times New Roman"/>
          <w:color w:val="000000" w:themeColor="text1"/>
          <w:sz w:val="24"/>
          <w:szCs w:val="24"/>
        </w:rPr>
        <w:t xml:space="preserve"> </w:t>
      </w:r>
      <w:r w:rsidR="004223D0">
        <w:rPr>
          <w:rFonts w:ascii="Times New Roman" w:hAnsi="Times New Roman" w:cs="Times New Roman"/>
          <w:color w:val="000000" w:themeColor="text1"/>
          <w:sz w:val="24"/>
          <w:szCs w:val="24"/>
        </w:rPr>
        <w:t xml:space="preserve">noted that </w:t>
      </w:r>
      <w:r w:rsidR="00ED34FE">
        <w:rPr>
          <w:rFonts w:ascii="Times New Roman" w:hAnsi="Times New Roman" w:cs="Times New Roman"/>
          <w:color w:val="000000" w:themeColor="text1"/>
          <w:sz w:val="24"/>
          <w:szCs w:val="24"/>
        </w:rPr>
        <w:t xml:space="preserve">the </w:t>
      </w:r>
      <w:r w:rsidR="004223D0">
        <w:rPr>
          <w:rFonts w:ascii="Times New Roman" w:hAnsi="Times New Roman" w:cs="Times New Roman"/>
          <w:color w:val="000000" w:themeColor="text1"/>
          <w:sz w:val="24"/>
          <w:szCs w:val="24"/>
        </w:rPr>
        <w:t xml:space="preserve">course </w:t>
      </w:r>
      <w:r w:rsidR="00BD0372">
        <w:rPr>
          <w:rFonts w:ascii="Times New Roman" w:hAnsi="Times New Roman" w:cs="Times New Roman"/>
          <w:color w:val="000000" w:themeColor="text1"/>
          <w:sz w:val="24"/>
          <w:szCs w:val="24"/>
        </w:rPr>
        <w:t>may</w:t>
      </w:r>
      <w:r w:rsidR="004223D0">
        <w:rPr>
          <w:rFonts w:ascii="Times New Roman" w:hAnsi="Times New Roman" w:cs="Times New Roman"/>
          <w:color w:val="000000" w:themeColor="text1"/>
          <w:sz w:val="24"/>
          <w:szCs w:val="24"/>
        </w:rPr>
        <w:t xml:space="preserve"> not </w:t>
      </w:r>
      <w:r w:rsidR="00BD0372">
        <w:rPr>
          <w:rFonts w:ascii="Times New Roman" w:hAnsi="Times New Roman" w:cs="Times New Roman"/>
          <w:color w:val="000000" w:themeColor="text1"/>
          <w:sz w:val="24"/>
          <w:szCs w:val="24"/>
        </w:rPr>
        <w:t xml:space="preserve">be </w:t>
      </w:r>
      <w:r w:rsidR="004223D0">
        <w:rPr>
          <w:rFonts w:ascii="Times New Roman" w:hAnsi="Times New Roman" w:cs="Times New Roman"/>
          <w:color w:val="000000" w:themeColor="text1"/>
          <w:sz w:val="24"/>
          <w:szCs w:val="24"/>
        </w:rPr>
        <w:t xml:space="preserve">uniform as memory function </w:t>
      </w:r>
      <w:r w:rsidR="00CB3826">
        <w:rPr>
          <w:rFonts w:ascii="Times New Roman" w:hAnsi="Times New Roman" w:cs="Times New Roman"/>
          <w:color w:val="000000" w:themeColor="text1"/>
          <w:sz w:val="24"/>
          <w:szCs w:val="24"/>
        </w:rPr>
        <w:t>was</w:t>
      </w:r>
      <w:r w:rsidR="004223D0">
        <w:rPr>
          <w:rFonts w:ascii="Times New Roman" w:hAnsi="Times New Roman" w:cs="Times New Roman"/>
          <w:color w:val="000000" w:themeColor="text1"/>
          <w:sz w:val="24"/>
          <w:szCs w:val="24"/>
        </w:rPr>
        <w:t xml:space="preserve"> shown to improve in those </w:t>
      </w:r>
      <w:r w:rsidR="00BD0372">
        <w:rPr>
          <w:rFonts w:ascii="Times New Roman" w:hAnsi="Times New Roman" w:cs="Times New Roman"/>
          <w:color w:val="000000" w:themeColor="text1"/>
          <w:sz w:val="24"/>
          <w:szCs w:val="24"/>
        </w:rPr>
        <w:t>newly-</w:t>
      </w:r>
      <w:r w:rsidR="004223D0">
        <w:rPr>
          <w:rFonts w:ascii="Times New Roman" w:hAnsi="Times New Roman" w:cs="Times New Roman"/>
          <w:color w:val="000000" w:themeColor="text1"/>
          <w:sz w:val="24"/>
          <w:szCs w:val="24"/>
        </w:rPr>
        <w:t xml:space="preserve">initiated onto </w:t>
      </w:r>
      <w:r w:rsidR="00BD0372">
        <w:rPr>
          <w:rFonts w:ascii="Times New Roman" w:hAnsi="Times New Roman" w:cs="Times New Roman"/>
          <w:color w:val="000000" w:themeColor="text1"/>
          <w:sz w:val="24"/>
          <w:szCs w:val="24"/>
        </w:rPr>
        <w:t>dialysis</w:t>
      </w:r>
      <w:r w:rsidR="004223D0">
        <w:rPr>
          <w:rFonts w:ascii="Times New Roman" w:hAnsi="Times New Roman" w:cs="Times New Roman"/>
          <w:color w:val="000000" w:themeColor="text1"/>
          <w:sz w:val="24"/>
          <w:szCs w:val="24"/>
        </w:rPr>
        <w:t xml:space="preserve"> in </w:t>
      </w:r>
      <w:r w:rsidR="00BD0372">
        <w:rPr>
          <w:rFonts w:ascii="Times New Roman" w:hAnsi="Times New Roman" w:cs="Times New Roman"/>
          <w:color w:val="000000" w:themeColor="text1"/>
          <w:sz w:val="24"/>
          <w:szCs w:val="24"/>
        </w:rPr>
        <w:t>the past</w:t>
      </w:r>
      <w:r w:rsidR="004223D0">
        <w:rPr>
          <w:rFonts w:ascii="Times New Roman" w:hAnsi="Times New Roman" w:cs="Times New Roman"/>
          <w:color w:val="000000" w:themeColor="text1"/>
          <w:sz w:val="24"/>
          <w:szCs w:val="24"/>
        </w:rPr>
        <w:t xml:space="preserve"> year but remain stable for thos</w:t>
      </w:r>
      <w:r w:rsidR="008E7937">
        <w:rPr>
          <w:rFonts w:ascii="Times New Roman" w:hAnsi="Times New Roman" w:cs="Times New Roman"/>
          <w:color w:val="000000" w:themeColor="text1"/>
          <w:sz w:val="24"/>
          <w:szCs w:val="24"/>
        </w:rPr>
        <w:t>e with a dialysis vintage longer than a year.</w:t>
      </w:r>
      <w:r w:rsidR="00A57A65">
        <w:rPr>
          <w:rFonts w:ascii="Times New Roman" w:hAnsi="Times New Roman" w:cs="Times New Roman"/>
          <w:color w:val="000000" w:themeColor="text1"/>
          <w:sz w:val="24"/>
          <w:szCs w:val="24"/>
        </w:rPr>
        <w:t xml:space="preserve"> </w:t>
      </w:r>
      <w:r w:rsidR="00A854F1" w:rsidRPr="00A854F1">
        <w:rPr>
          <w:rFonts w:ascii="Times New Roman" w:hAnsi="Times New Roman" w:cs="Times New Roman"/>
          <w:color w:val="000000" w:themeColor="text1"/>
          <w:sz w:val="24"/>
          <w:szCs w:val="24"/>
        </w:rPr>
        <w:t xml:space="preserve">SCCs on the other hand have also been shown to improve over time in HD patients </w:t>
      </w:r>
      <w:r w:rsidR="00A854F1" w:rsidRPr="00A854F1">
        <w:rPr>
          <w:rFonts w:ascii="Times New Roman" w:hAnsi="Times New Roman" w:cs="Times New Roman"/>
          <w:color w:val="000000" w:themeColor="text1"/>
          <w:sz w:val="24"/>
          <w:szCs w:val="24"/>
        </w:rPr>
        <w:fldChar w:fldCharType="begin" w:fldLock="1"/>
      </w:r>
      <w:r w:rsidR="00A854F1" w:rsidRPr="00A854F1">
        <w:rPr>
          <w:rFonts w:ascii="Times New Roman" w:hAnsi="Times New Roman" w:cs="Times New Roman"/>
          <w:color w:val="000000" w:themeColor="text1"/>
          <w:sz w:val="24"/>
          <w:szCs w:val="24"/>
        </w:rPr>
        <w:instrText>ADDIN CSL_CITATION {"citationItems":[{"id":"ITEM-1","itemData":{"DOI":"10.1053/j.ajkd.2017.11.016","ISSN":"15236838","PMID":"29395483","abstract":"Background: This study evaluated 1-year linear trajectories of patient-reported dimensions of quality of life among patients receiving dialysis. Study Design: Longitudinal observational study. Setting &amp; Participants: 227 patients recruited from 12 dialysis centers. Factors: Sociodemographic and clinical characteristics. Measurements/Outcomes: Participants completed an hour-long interview monthly for 12 months. Each interview included patient-reported outcome measures of overall symptoms (Edmonton Symptom Assessment System), physical functioning (Activities of Daily Living/Instrumental Activities of Daily Living), cognitive functioning (Patient's Assessment of Own Functioning Inventory), emotional well-being (Center for Epidemiologic Studies Depression Scale, State Anxiety Inventory, and Positive and Negative Affect Schedule), and spiritual well-being (Functional Assessment of Chronic Illness Therapy-Spiritual Well-Being Scale). For each dimension, linear and generalized linear mixed-effects models were used. Linear trajectories of the 5 dimensions were jointly modeled as a multivariate outcome over time. Results: Although dimension scores fluctuated greatly from month to month, overall symptoms, cognitive functioning, emotional well-being, and spiritual well-being improved over time. Older compared with younger participants reported higher scores across all dimensions (all P &lt; 0.05). Higher comorbidity scores were associated with worse scores in most dimensions (all P &lt; 0.01). Nonwhite participants reported better spiritual well-being compared with their white counterparts (P &lt; 0.01). Clustering analysis of dimension scores revealed 2 distinctive clusters. Cluster 1 was characterized by better scores than those of cluster 2 in nearly all dimensions at baseline and by gradual improvement over time. Limitations: Study was conducted in a single region of the United States and included mostly patients with high levels of function across the dimensions of quality of life studied. Conclusions: Multidimensional patient-reported quality of life varies widely from month to month regardless of whether overall trajectories improve or worsen over time. Additional research is needed to identify the best approaches to incorporate patient-reported outcome measures into dialysis care.","author":[{"dropping-particle":"","family":"Song","given":"Mi-Kyung","non-dropping-particle":"","parse-names":false,"suffix":""},{"dropping-particle":"","family":"Paul","given":"Sudeshna","non-dropping-particle":"","parse-names":false,"suffix":""},{"dropping-particle":"","family":"Ward","given":"Sandra E.","non-dropping-particle":"","parse-names":false,"suffix":""},{"dropping-particle":"","family":"Gilet","given":"Constance A.","non-dropping-particle":"","parse-names":false,"suffix":""},{"dropping-particle":"","family":"Hladik","given":"Gerald A.","non-dropping-particle":"","parse-names":false,"suffix":""}],"container-title":"American Journal of Kidney Diseases","id":"ITEM-1","issue":"2","issued":{"date-parts":[["2018"]]},"page":"198-204","publisher":"Elsevier Inc","title":"One-Year Linear Trajectories of Symptoms, Physical Functioning, Cognitive Functioning, Emotional Well-being, and Spiritual Well-being Among Patients Receiving Dialysis","type":"article-journal","volume":"72"},"uris":["http://www.mendeley.com/documents/?uuid=b4e7ee8b-9532-4fae-9784-21292d02df6a"]}],"mendeley":{"formattedCitation":"(Song et al., 2018)","plainTextFormattedCitation":"(Song et al., 2018)","previouslyFormattedCitation":"(Song et al., 2018)"},"properties":{"noteIndex":0},"schema":"https://github.com/citation-style-language/schema/raw/master/csl-citation.json"}</w:instrText>
      </w:r>
      <w:r w:rsidR="00A854F1" w:rsidRPr="00A854F1">
        <w:rPr>
          <w:rFonts w:ascii="Times New Roman" w:hAnsi="Times New Roman" w:cs="Times New Roman"/>
          <w:color w:val="000000" w:themeColor="text1"/>
          <w:sz w:val="24"/>
          <w:szCs w:val="24"/>
        </w:rPr>
        <w:fldChar w:fldCharType="separate"/>
      </w:r>
      <w:r w:rsidR="00A854F1" w:rsidRPr="00A854F1">
        <w:rPr>
          <w:rFonts w:ascii="Times New Roman" w:hAnsi="Times New Roman" w:cs="Times New Roman"/>
          <w:noProof/>
          <w:color w:val="000000" w:themeColor="text1"/>
          <w:sz w:val="24"/>
          <w:szCs w:val="24"/>
        </w:rPr>
        <w:t>(Song et al., 2018)</w:t>
      </w:r>
      <w:r w:rsidR="00A854F1" w:rsidRPr="00A854F1">
        <w:rPr>
          <w:rFonts w:ascii="Times New Roman" w:hAnsi="Times New Roman" w:cs="Times New Roman"/>
          <w:color w:val="000000" w:themeColor="text1"/>
          <w:sz w:val="24"/>
          <w:szCs w:val="24"/>
        </w:rPr>
        <w:fldChar w:fldCharType="end"/>
      </w:r>
      <w:r w:rsidR="00A854F1" w:rsidRPr="00A854F1">
        <w:rPr>
          <w:rFonts w:ascii="Times New Roman" w:hAnsi="Times New Roman" w:cs="Times New Roman"/>
          <w:color w:val="000000" w:themeColor="text1"/>
          <w:sz w:val="24"/>
          <w:szCs w:val="24"/>
        </w:rPr>
        <w:t xml:space="preserve">. The observed inconsistencies highlight </w:t>
      </w:r>
      <w:r w:rsidR="00A57A65">
        <w:rPr>
          <w:rFonts w:ascii="Times New Roman" w:hAnsi="Times New Roman" w:cs="Times New Roman"/>
          <w:color w:val="000000" w:themeColor="text1"/>
          <w:sz w:val="24"/>
          <w:szCs w:val="24"/>
        </w:rPr>
        <w:t>potential</w:t>
      </w:r>
      <w:r w:rsidR="00A854F1" w:rsidRPr="00A854F1">
        <w:rPr>
          <w:rFonts w:ascii="Times New Roman" w:hAnsi="Times New Roman" w:cs="Times New Roman"/>
          <w:color w:val="000000" w:themeColor="text1"/>
          <w:sz w:val="24"/>
          <w:szCs w:val="24"/>
        </w:rPr>
        <w:t xml:space="preserve"> inter-individual variability</w:t>
      </w:r>
      <w:r w:rsidR="00A57A65">
        <w:rPr>
          <w:rFonts w:ascii="Times New Roman" w:hAnsi="Times New Roman" w:cs="Times New Roman"/>
          <w:color w:val="000000" w:themeColor="text1"/>
          <w:sz w:val="24"/>
          <w:szCs w:val="24"/>
        </w:rPr>
        <w:t xml:space="preserve"> in the patterns of change</w:t>
      </w:r>
      <w:r w:rsidR="00A854F1" w:rsidRPr="00A854F1">
        <w:rPr>
          <w:rFonts w:ascii="Times New Roman" w:hAnsi="Times New Roman" w:cs="Times New Roman"/>
          <w:color w:val="000000" w:themeColor="text1"/>
          <w:sz w:val="24"/>
          <w:szCs w:val="24"/>
        </w:rPr>
        <w:t xml:space="preserve"> and the need to further study cognitive trajectories, factors associated with these trajectories, and their implications in terms of </w:t>
      </w:r>
      <w:r w:rsidR="00A854F1" w:rsidRPr="008253C4">
        <w:rPr>
          <w:rFonts w:ascii="Times New Roman" w:hAnsi="Times New Roman" w:cs="Times New Roman"/>
          <w:color w:val="000000" w:themeColor="text1"/>
          <w:sz w:val="24"/>
          <w:szCs w:val="24"/>
        </w:rPr>
        <w:t>clinical, behavioural, and psychosocial outcomes.</w:t>
      </w:r>
    </w:p>
    <w:p w14:paraId="5F7BB9C6" w14:textId="630899AA" w:rsidR="00900E3E" w:rsidRPr="00B30859" w:rsidRDefault="005D704B" w:rsidP="00FF68AB">
      <w:pPr>
        <w:pStyle w:val="CommentText"/>
        <w:spacing w:line="480" w:lineRule="auto"/>
        <w:ind w:firstLine="567"/>
        <w:contextualSpacing/>
        <w:rPr>
          <w:rFonts w:ascii="Times New Roman" w:hAnsi="Times New Roman" w:cs="Times New Roman"/>
          <w:color w:val="000000" w:themeColor="text1"/>
          <w:sz w:val="24"/>
          <w:szCs w:val="24"/>
        </w:rPr>
      </w:pPr>
      <w:r w:rsidRPr="00577052">
        <w:rPr>
          <w:rFonts w:ascii="Times New Roman" w:hAnsi="Times New Roman" w:cs="Times New Roman"/>
          <w:color w:val="000000" w:themeColor="text1"/>
          <w:sz w:val="24"/>
          <w:szCs w:val="24"/>
        </w:rPr>
        <w:t>To address these critical gaps, th</w:t>
      </w:r>
      <w:r w:rsidR="00DD7028" w:rsidRPr="00577052">
        <w:rPr>
          <w:rFonts w:ascii="Times New Roman" w:hAnsi="Times New Roman" w:cs="Times New Roman"/>
          <w:color w:val="000000" w:themeColor="text1"/>
          <w:sz w:val="24"/>
          <w:szCs w:val="24"/>
        </w:rPr>
        <w:t xml:space="preserve">is prospective </w:t>
      </w:r>
      <w:r w:rsidRPr="00577052">
        <w:rPr>
          <w:rFonts w:ascii="Times New Roman" w:hAnsi="Times New Roman" w:cs="Times New Roman"/>
          <w:color w:val="000000" w:themeColor="text1"/>
          <w:sz w:val="24"/>
          <w:szCs w:val="24"/>
        </w:rPr>
        <w:t xml:space="preserve">study aimed </w:t>
      </w:r>
      <w:r w:rsidR="00AD1A38" w:rsidRPr="00577052">
        <w:rPr>
          <w:rFonts w:ascii="Times New Roman" w:hAnsi="Times New Roman" w:cs="Times New Roman"/>
          <w:color w:val="000000" w:themeColor="text1"/>
          <w:sz w:val="24"/>
          <w:szCs w:val="24"/>
        </w:rPr>
        <w:t>(1)</w:t>
      </w:r>
      <w:r w:rsidR="00C93957" w:rsidRPr="00577052">
        <w:rPr>
          <w:rFonts w:ascii="Times New Roman" w:hAnsi="Times New Roman" w:cs="Times New Roman"/>
          <w:color w:val="000000" w:themeColor="text1"/>
          <w:sz w:val="24"/>
          <w:szCs w:val="24"/>
        </w:rPr>
        <w:t xml:space="preserve"> to</w:t>
      </w:r>
      <w:r w:rsidR="00AD1A38" w:rsidRPr="00577052">
        <w:rPr>
          <w:rFonts w:ascii="Times New Roman" w:hAnsi="Times New Roman" w:cs="Times New Roman"/>
          <w:color w:val="000000" w:themeColor="text1"/>
          <w:sz w:val="24"/>
          <w:szCs w:val="24"/>
        </w:rPr>
        <w:t xml:space="preserve"> examine the </w:t>
      </w:r>
      <w:r w:rsidR="00194424">
        <w:rPr>
          <w:rFonts w:ascii="Times New Roman" w:hAnsi="Times New Roman" w:cs="Times New Roman"/>
          <w:color w:val="000000" w:themeColor="text1"/>
          <w:sz w:val="24"/>
          <w:szCs w:val="24"/>
        </w:rPr>
        <w:t xml:space="preserve">prevalence and </w:t>
      </w:r>
      <w:r w:rsidR="00AD1A38" w:rsidRPr="00577052">
        <w:rPr>
          <w:rFonts w:ascii="Times New Roman" w:hAnsi="Times New Roman" w:cs="Times New Roman"/>
          <w:color w:val="000000" w:themeColor="text1"/>
          <w:sz w:val="24"/>
          <w:szCs w:val="24"/>
        </w:rPr>
        <w:t xml:space="preserve">course of </w:t>
      </w:r>
      <w:r w:rsidR="00194424">
        <w:rPr>
          <w:rFonts w:ascii="Times New Roman" w:hAnsi="Times New Roman" w:cs="Times New Roman"/>
          <w:color w:val="000000" w:themeColor="text1"/>
          <w:sz w:val="24"/>
          <w:szCs w:val="24"/>
        </w:rPr>
        <w:t>SCCs</w:t>
      </w:r>
      <w:r w:rsidR="00AD1A38" w:rsidRPr="00577052">
        <w:rPr>
          <w:rFonts w:ascii="Times New Roman" w:hAnsi="Times New Roman" w:cs="Times New Roman"/>
          <w:color w:val="000000" w:themeColor="text1"/>
          <w:sz w:val="24"/>
          <w:szCs w:val="24"/>
        </w:rPr>
        <w:t xml:space="preserve"> over 12 months in HD patients</w:t>
      </w:r>
      <w:r w:rsidR="00C93957" w:rsidRPr="00577052">
        <w:rPr>
          <w:rFonts w:ascii="Times New Roman" w:hAnsi="Times New Roman" w:cs="Times New Roman"/>
          <w:color w:val="000000" w:themeColor="text1"/>
          <w:sz w:val="24"/>
          <w:szCs w:val="24"/>
        </w:rPr>
        <w:t>, (2)</w:t>
      </w:r>
      <w:r w:rsidR="002E6674" w:rsidRPr="00577052">
        <w:rPr>
          <w:rFonts w:ascii="Times New Roman" w:hAnsi="Times New Roman" w:cs="Times New Roman"/>
          <w:color w:val="000000" w:themeColor="text1"/>
          <w:sz w:val="24"/>
          <w:szCs w:val="24"/>
        </w:rPr>
        <w:t xml:space="preserve"> to explore the proportion of patients exhibiting different</w:t>
      </w:r>
      <w:r w:rsidR="00E129AF" w:rsidRPr="00577052">
        <w:rPr>
          <w:rFonts w:ascii="Times New Roman" w:hAnsi="Times New Roman" w:cs="Times New Roman"/>
          <w:color w:val="000000" w:themeColor="text1"/>
          <w:sz w:val="24"/>
          <w:szCs w:val="24"/>
        </w:rPr>
        <w:t xml:space="preserve"> cognitive</w:t>
      </w:r>
      <w:r w:rsidR="002E6674" w:rsidRPr="00577052">
        <w:rPr>
          <w:rFonts w:ascii="Times New Roman" w:hAnsi="Times New Roman" w:cs="Times New Roman"/>
          <w:color w:val="000000" w:themeColor="text1"/>
          <w:sz w:val="24"/>
          <w:szCs w:val="24"/>
        </w:rPr>
        <w:t xml:space="preserve"> </w:t>
      </w:r>
      <w:r w:rsidR="00377916" w:rsidRPr="00577052">
        <w:rPr>
          <w:rFonts w:ascii="Times New Roman" w:hAnsi="Times New Roman" w:cs="Times New Roman"/>
          <w:color w:val="000000" w:themeColor="text1"/>
          <w:sz w:val="24"/>
          <w:szCs w:val="24"/>
        </w:rPr>
        <w:t xml:space="preserve">complaint </w:t>
      </w:r>
      <w:r w:rsidR="002E6674" w:rsidRPr="00577052">
        <w:rPr>
          <w:rFonts w:ascii="Times New Roman" w:hAnsi="Times New Roman" w:cs="Times New Roman"/>
          <w:color w:val="000000" w:themeColor="text1"/>
          <w:sz w:val="24"/>
          <w:szCs w:val="24"/>
        </w:rPr>
        <w:t>trajectories over time</w:t>
      </w:r>
      <w:r w:rsidR="008F0066" w:rsidRPr="00577052">
        <w:rPr>
          <w:rFonts w:ascii="Times New Roman" w:hAnsi="Times New Roman" w:cs="Times New Roman"/>
          <w:color w:val="000000" w:themeColor="text1"/>
          <w:sz w:val="24"/>
          <w:szCs w:val="24"/>
        </w:rPr>
        <w:t xml:space="preserve">, </w:t>
      </w:r>
      <w:r w:rsidR="00B25817">
        <w:rPr>
          <w:rFonts w:ascii="Times New Roman" w:hAnsi="Times New Roman" w:cs="Times New Roman"/>
          <w:color w:val="000000" w:themeColor="text1"/>
          <w:sz w:val="24"/>
          <w:szCs w:val="24"/>
        </w:rPr>
        <w:t xml:space="preserve">and </w:t>
      </w:r>
      <w:r w:rsidR="00DA05CB" w:rsidRPr="00577052">
        <w:rPr>
          <w:rFonts w:ascii="Times New Roman" w:hAnsi="Times New Roman" w:cs="Times New Roman"/>
          <w:color w:val="000000" w:themeColor="text1"/>
          <w:sz w:val="24"/>
          <w:szCs w:val="24"/>
        </w:rPr>
        <w:t xml:space="preserve">(3) </w:t>
      </w:r>
      <w:r w:rsidR="00B9525F" w:rsidRPr="00577052">
        <w:rPr>
          <w:rFonts w:ascii="Times New Roman" w:hAnsi="Times New Roman" w:cs="Times New Roman"/>
          <w:color w:val="000000" w:themeColor="text1"/>
          <w:sz w:val="24"/>
          <w:szCs w:val="24"/>
        </w:rPr>
        <w:t>to examine the associations of these trajectories with sociodemographic</w:t>
      </w:r>
      <w:r w:rsidR="00FF68AB">
        <w:rPr>
          <w:rFonts w:ascii="Times New Roman" w:hAnsi="Times New Roman" w:cs="Times New Roman"/>
          <w:color w:val="000000" w:themeColor="text1"/>
          <w:sz w:val="24"/>
          <w:szCs w:val="24"/>
        </w:rPr>
        <w:t xml:space="preserve"> and clinical profile</w:t>
      </w:r>
      <w:r w:rsidR="00B9525F" w:rsidRPr="00577052">
        <w:rPr>
          <w:rFonts w:ascii="Times New Roman" w:hAnsi="Times New Roman" w:cs="Times New Roman"/>
          <w:color w:val="000000" w:themeColor="text1"/>
          <w:sz w:val="24"/>
          <w:szCs w:val="24"/>
        </w:rPr>
        <w:t xml:space="preserve">, </w:t>
      </w:r>
      <w:r w:rsidR="00FF68AB">
        <w:rPr>
          <w:rFonts w:ascii="Times New Roman" w:hAnsi="Times New Roman" w:cs="Times New Roman"/>
          <w:color w:val="000000" w:themeColor="text1"/>
          <w:sz w:val="24"/>
          <w:szCs w:val="24"/>
        </w:rPr>
        <w:t xml:space="preserve">key clinical outcomes (e.g., </w:t>
      </w:r>
      <w:r w:rsidR="00874C8C">
        <w:rPr>
          <w:rFonts w:ascii="Times New Roman" w:hAnsi="Times New Roman" w:cs="Times New Roman"/>
          <w:color w:val="000000" w:themeColor="text1"/>
          <w:sz w:val="24"/>
          <w:szCs w:val="24"/>
        </w:rPr>
        <w:t xml:space="preserve">potassium, </w:t>
      </w:r>
      <w:r w:rsidR="00FF68AB">
        <w:rPr>
          <w:rFonts w:ascii="Times New Roman" w:hAnsi="Times New Roman" w:cs="Times New Roman"/>
          <w:color w:val="000000" w:themeColor="text1"/>
          <w:sz w:val="24"/>
          <w:szCs w:val="24"/>
        </w:rPr>
        <w:t>phosphorus, etc.)</w:t>
      </w:r>
      <w:r w:rsidR="00B9525F" w:rsidRPr="00577052">
        <w:rPr>
          <w:rFonts w:ascii="Times New Roman" w:hAnsi="Times New Roman" w:cs="Times New Roman"/>
          <w:color w:val="000000" w:themeColor="text1"/>
          <w:sz w:val="24"/>
          <w:szCs w:val="24"/>
        </w:rPr>
        <w:t xml:space="preserve">, </w:t>
      </w:r>
      <w:r w:rsidR="00FF68AB">
        <w:rPr>
          <w:rFonts w:ascii="Times New Roman" w:hAnsi="Times New Roman" w:cs="Times New Roman"/>
          <w:color w:val="000000" w:themeColor="text1"/>
          <w:sz w:val="24"/>
          <w:szCs w:val="24"/>
        </w:rPr>
        <w:t xml:space="preserve">and patient-reported outcomes </w:t>
      </w:r>
      <w:r w:rsidR="002166D9" w:rsidRPr="00577052">
        <w:rPr>
          <w:rFonts w:ascii="Times New Roman" w:hAnsi="Times New Roman" w:cs="Times New Roman"/>
          <w:color w:val="000000" w:themeColor="text1"/>
          <w:sz w:val="24"/>
          <w:szCs w:val="24"/>
        </w:rPr>
        <w:t xml:space="preserve">(i.e., self-efficacy, </w:t>
      </w:r>
      <w:r w:rsidR="007236A0" w:rsidRPr="00577052">
        <w:rPr>
          <w:rFonts w:ascii="Times New Roman" w:hAnsi="Times New Roman" w:cs="Times New Roman"/>
          <w:color w:val="000000" w:themeColor="text1"/>
          <w:sz w:val="24"/>
          <w:szCs w:val="24"/>
        </w:rPr>
        <w:t>self-management skills</w:t>
      </w:r>
      <w:r w:rsidR="007236A0">
        <w:rPr>
          <w:rFonts w:ascii="Times New Roman" w:hAnsi="Times New Roman" w:cs="Times New Roman"/>
          <w:color w:val="000000" w:themeColor="text1"/>
          <w:sz w:val="24"/>
          <w:szCs w:val="24"/>
        </w:rPr>
        <w:t xml:space="preserve">, </w:t>
      </w:r>
      <w:r w:rsidR="002166D9" w:rsidRPr="00577052">
        <w:rPr>
          <w:rFonts w:ascii="Times New Roman" w:hAnsi="Times New Roman" w:cs="Times New Roman"/>
          <w:color w:val="000000" w:themeColor="text1"/>
          <w:sz w:val="24"/>
          <w:szCs w:val="24"/>
        </w:rPr>
        <w:t>treatment adherence, and</w:t>
      </w:r>
      <w:r w:rsidR="007236A0">
        <w:rPr>
          <w:rFonts w:ascii="Times New Roman" w:hAnsi="Times New Roman" w:cs="Times New Roman"/>
          <w:color w:val="000000" w:themeColor="text1"/>
          <w:sz w:val="24"/>
          <w:szCs w:val="24"/>
        </w:rPr>
        <w:t xml:space="preserve"> mood symptoms</w:t>
      </w:r>
      <w:r w:rsidR="002166D9" w:rsidRPr="00577052">
        <w:rPr>
          <w:rFonts w:ascii="Times New Roman" w:hAnsi="Times New Roman" w:cs="Times New Roman"/>
          <w:color w:val="000000" w:themeColor="text1"/>
          <w:sz w:val="24"/>
          <w:szCs w:val="24"/>
        </w:rPr>
        <w:t>)</w:t>
      </w:r>
      <w:r w:rsidR="00B9525F" w:rsidRPr="00577052">
        <w:rPr>
          <w:rFonts w:ascii="Times New Roman" w:hAnsi="Times New Roman" w:cs="Times New Roman"/>
          <w:color w:val="000000" w:themeColor="text1"/>
          <w:sz w:val="24"/>
          <w:szCs w:val="24"/>
        </w:rPr>
        <w:t>.</w:t>
      </w:r>
    </w:p>
    <w:p w14:paraId="4BFC6536" w14:textId="1E00029F" w:rsidR="00E31B68" w:rsidRPr="00577052" w:rsidRDefault="00E31B68" w:rsidP="00577052">
      <w:pPr>
        <w:spacing w:line="480" w:lineRule="auto"/>
        <w:contextualSpacing/>
        <w:jc w:val="center"/>
        <w:rPr>
          <w:b/>
          <w:bCs/>
          <w:lang w:val="en-GB"/>
        </w:rPr>
      </w:pPr>
      <w:r w:rsidRPr="00577052">
        <w:rPr>
          <w:b/>
          <w:bCs/>
          <w:lang w:val="en-GB"/>
        </w:rPr>
        <w:t>Methods</w:t>
      </w:r>
    </w:p>
    <w:p w14:paraId="4A31D6D5" w14:textId="71921171" w:rsidR="00957BC5" w:rsidRPr="00577052" w:rsidRDefault="00957BC5" w:rsidP="00577052">
      <w:pPr>
        <w:spacing w:line="480" w:lineRule="auto"/>
        <w:contextualSpacing/>
        <w:rPr>
          <w:b/>
          <w:bCs/>
          <w:lang w:val="en-GB"/>
        </w:rPr>
      </w:pPr>
      <w:r w:rsidRPr="00577052">
        <w:rPr>
          <w:b/>
          <w:bCs/>
          <w:lang w:val="en-GB"/>
        </w:rPr>
        <w:t>Design</w:t>
      </w:r>
    </w:p>
    <w:p w14:paraId="6D87A30C" w14:textId="08062977" w:rsidR="005D0196" w:rsidRPr="00577052" w:rsidRDefault="005D0196" w:rsidP="00577052">
      <w:pPr>
        <w:spacing w:line="480" w:lineRule="auto"/>
        <w:contextualSpacing/>
        <w:rPr>
          <w:lang w:val="en-GB"/>
        </w:rPr>
      </w:pPr>
      <w:r w:rsidRPr="00577052">
        <w:rPr>
          <w:lang w:val="en-GB"/>
        </w:rPr>
        <w:t xml:space="preserve">The current study is based on data from two studies undertaken at the same period in </w:t>
      </w:r>
      <w:r w:rsidR="009B7F3F">
        <w:rPr>
          <w:lang w:val="en-GB"/>
        </w:rPr>
        <w:t xml:space="preserve">the </w:t>
      </w:r>
      <w:r w:rsidRPr="00577052">
        <w:rPr>
          <w:lang w:val="en-GB"/>
        </w:rPr>
        <w:t xml:space="preserve">National Kidney Foundation (NKF) of Singapore: an observational study of HD patients </w:t>
      </w:r>
      <w:r w:rsidRPr="00577052">
        <w:rPr>
          <w:lang w:val="en-GB"/>
        </w:rPr>
        <w:fldChar w:fldCharType="begin" w:fldLock="1"/>
      </w:r>
      <w:r w:rsidR="00CC2D6A">
        <w:rPr>
          <w:lang w:val="en-GB"/>
        </w:rPr>
        <w:instrText>ADDIN CSL_CITATION {"citationItems":[{"id":"ITEM-1","itemData":{"DOI":"10.1111/bjhp.12106","ISSN":"20448287","PMID":"24811542","abstract":"Objective. Depression is common in dialysis patients and has been shown to be associated with higher morbidity and mortality, but little is known about the course of symptoms over time. The current study set up to explore group and individual patterns of change in symptoms of anxiety and depression within the hemodialysis population and to identify socio-demographic, clinical, and psychological factors that may be associated with different trajectories of emotional distress. Methods. A total of 159 hemodialysis patients (n = 42 incident and n = 117 prevalent) completed the Hospital Anxiety and Depression Scale and social support and symptoms subscales from the Kidney Disease Quality of Life (Short Form) on two occasions 12 months apart. Clinical cut-offs were used to identify individual patterns of change in anxiety and depression symptoms across time, and analysis of variance (ANOVA) procedures were employed to establish potential correlates of these trajectories. Results. Mean levels of anxiety and depression symptoms remained unchanged over 1 year with 44.7-54.1% of patients above cut-off at both baseline and follow-up. Individual-level analyses showed that the course of symptoms does not follow a single trajectory. While most patients had either persistent symptoms of distress (39.6% and 31.8% for depression and anxiety, respectively) or no/low symptoms of distress (32.1% and 36.9% for depression and anxiety, respectively), a total of 12.7-18.5% patients either had new-onset symptoms of depression/anxiety or symptoms diminishing over time. Patients with persisting or new-onset symptoms of depression or anxiety reported reduced perceived social support and quality of social interaction compared to the subgroups with low depressive/anxious symptoms. Conclusion. Different patterns of symptoms reflect heterogeneity in patients' emotional reactions and adjustment. More research is needed to identify patients at risk for emotional distress and to explore social support in the context of dialysis.","author":[{"dropping-particle":"","family":"Ng","given":"Hui Juan","non-dropping-particle":"","parse-names":false,"suffix":""},{"dropping-particle":"","family":"Tan","given":"Wei Jie","non-dropping-particle":"","parse-names":false,"suffix":""},{"dropping-particle":"","family":"Mooppil","given":"Nandakumar","non-dropping-particle":"","parse-names":false,"suffix":""},{"dropping-particle":"","family":"Newman","given":"Stanton","non-dropping-particle":"","parse-names":false,"suffix":""},{"dropping-particle":"","family":"Griva","given":"Konstadina","non-dropping-particle":"","parse-names":false,"suffix":""}],"container-title":"British Journal of Health Psychology","id":"ITEM-1","issued":{"date-parts":[["2015"]]},"page":"374-395","title":"Prevalence and patterns of depression and anxiety in hemodialysis patients: A 12-month prospective study on incident and prevalent populations","type":"article-journal","volume":"20"},"uris":["http://www.mendeley.com/documents/?uuid=e33110c6-445b-4d9a-8856-084b4227ab4f"]}],"mendeley":{"formattedCitation":"(Ng et al., 2015)","plainTextFormattedCitation":"(Ng et al., 2015)","previouslyFormattedCitation":"(Ng et al., 2015)"},"properties":{"noteIndex":0},"schema":"https://github.com/citation-style-language/schema/raw/master/csl-citation.json"}</w:instrText>
      </w:r>
      <w:r w:rsidRPr="00577052">
        <w:rPr>
          <w:lang w:val="en-GB"/>
        </w:rPr>
        <w:fldChar w:fldCharType="separate"/>
      </w:r>
      <w:r w:rsidR="007D6381" w:rsidRPr="007D6381">
        <w:rPr>
          <w:noProof/>
          <w:lang w:val="en-GB"/>
        </w:rPr>
        <w:t>(Ng et al., 2015)</w:t>
      </w:r>
      <w:r w:rsidRPr="00577052">
        <w:rPr>
          <w:lang w:val="en-GB"/>
        </w:rPr>
        <w:fldChar w:fldCharType="end"/>
      </w:r>
      <w:r w:rsidRPr="00577052">
        <w:rPr>
          <w:lang w:val="en-GB"/>
        </w:rPr>
        <w:t xml:space="preserve"> and a randomised controlled trial evaluating the effectiveness of a self-management intervention for HD patients </w:t>
      </w:r>
      <w:r w:rsidRPr="00577052">
        <w:rPr>
          <w:lang w:val="en-GB"/>
        </w:rPr>
        <w:fldChar w:fldCharType="begin" w:fldLock="1"/>
      </w:r>
      <w:r w:rsidR="00CC2D6A">
        <w:rPr>
          <w:lang w:val="en-GB"/>
        </w:rPr>
        <w:instrText>ADDIN CSL_CITATION {"citationItems":[{"id":"ITEM-1","itemData":{"DOI":"10.1053/j.ajkd.2017.09.014","ISSN":"15236838","abstract":"Background: Poor adherence to treatment is common in hemodialysis patients. However, effective interventions for adherence in this population are lacking. Small studies of behavioral interventions have yielded improvements, but clinical effectiveness and long-term effects are unclear. Study Design: Multicenter parallel (1:1) design, blinded cluster-randomized controlled trial. Setting &amp; Participants: Patients undergoing maintenance hemodialysis enrolled in 14 dialysis centers. Intervention: Dialysis shifts of eligible patients were randomly assigned to either an interactive and targeted self-management training program (HED-SMART; intervention; n = 134) or usual care (control; n = 101). HED-SMART, developed using the principles of problem solving and social learning theory, was delivered in a group format by health care professionals over 4 sessions. Outcomes &amp; Measurements: Serum potassium and phosphate concentrations, interdialytic weight gains (IDWGs), self-reported adherence, and self-management skills at 1 week, 3 months, and 9 months postintervention. Results: 235 participants were enrolled in the study (response rate, 44.2%), and 82.1% completed the protocol. IDWG was significantly lowered across all 3 assessments relative to baseline (P &lt; 0.001) among patients randomly assigned to HED-SMART. In contrast, IDWG in controls showed no change except at 3 months, when it worsened significantly. Improvements in mineral markers were noted in the HED-SMART arm at 3 months (P &lt; 0.001) and in potassium concentrations (P &lt; 0.001) at 9 months. Phosphate concentrations improved in HED-SMART at 3 months (P = 0.03), but these effects were not maintained at 9 months postintervention. Significant differences between the arms were found for the secondary outcomes of self-reported adherence, self-management skills, and self-efficacy at all time points. Limitations: Low proportion of patients with diabetes. Conclusions: HED-SMART provides an effective and practical model for improving health in hemodialysis patients. The observed improvements in clinical markers and self-report adherence, if maintained at the longer follow-up, could significantly reduce end-stage renal disease−related complications. Given the feasibility of this kind of program, it has strong potential for supplementing usual care. Trial Registration: Registered at ISRCTN with study number ISRCTN31434033.","author":[{"dropping-particle":"","family":"Griva","given":"Konstadina","non-dropping-particle":"","parse-names":false,"suffix":""},{"dropping-particle":"","family":"Nandakumar","given":"Mooppil","non-dropping-particle":"","parse-names":false,"suffix":""},{"dropping-particle":"","family":"Ng","given":"Jo-an H.","non-dropping-particle":"","parse-names":false,"suffix":""},{"dropping-particle":"","family":"Lam","given":"Kevin F.Y.","non-dropping-particle":"","parse-names":false,"suffix":""},{"dropping-particle":"","family":"McBain","given":"Hayley","non-dropping-particle":"","parse-names":false,"suffix":""},{"dropping-particle":"","family":"Newman","given":"Stanton P.","non-dropping-particle":"","parse-names":false,"suffix":""}],"container-title":"American Journal of Kidney Diseases","id":"ITEM-1","issue":"3","issued":{"date-parts":[["2018"]]},"page":"371-381","title":"Hemodialysis Self-management Intervention Randomized Trial (HED-SMART): A Practical Low-Intensity Intervention to Improve Adherence and Clinical Markers in Patients Receiving Hemodialysis","type":"article-journal","volume":"71"},"uris":["http://www.mendeley.com/documents/?uuid=86bcdaba-4ec1-442c-ac64-5c037a1905e1"]}],"mendeley":{"formattedCitation":"(Griva, Nandakumar, et al., 2018)","plainTextFormattedCitation":"(Griva, Nandakumar, et al., 2018)","previouslyFormattedCitation":"(Griva, Nandakumar, et al., 2018)"},"properties":{"noteIndex":0},"schema":"https://github.com/citation-style-language/schema/raw/master/csl-citation.json"}</w:instrText>
      </w:r>
      <w:r w:rsidRPr="00577052">
        <w:rPr>
          <w:lang w:val="en-GB"/>
        </w:rPr>
        <w:fldChar w:fldCharType="separate"/>
      </w:r>
      <w:r w:rsidR="007D6381" w:rsidRPr="007D6381">
        <w:rPr>
          <w:noProof/>
          <w:lang w:val="en-GB"/>
        </w:rPr>
        <w:t>(Griva, Nandakumar, et al., 2018)</w:t>
      </w:r>
      <w:r w:rsidRPr="00577052">
        <w:rPr>
          <w:lang w:val="en-GB"/>
        </w:rPr>
        <w:fldChar w:fldCharType="end"/>
      </w:r>
      <w:r w:rsidRPr="00577052">
        <w:rPr>
          <w:lang w:val="en-GB"/>
        </w:rPr>
        <w:t xml:space="preserve">. </w:t>
      </w:r>
      <w:r w:rsidR="001202A5" w:rsidRPr="00577052">
        <w:rPr>
          <w:lang w:val="en-GB"/>
        </w:rPr>
        <w:t xml:space="preserve">Data collected at baseline and at 12-month follow-up were used. </w:t>
      </w:r>
      <w:r w:rsidR="000407F4" w:rsidRPr="00577052">
        <w:rPr>
          <w:lang w:val="en-GB"/>
        </w:rPr>
        <w:t>For the randomised controlled trial, only data from the control group</w:t>
      </w:r>
      <w:r w:rsidR="008F1136">
        <w:rPr>
          <w:lang w:val="en-GB"/>
        </w:rPr>
        <w:t xml:space="preserve"> (no intervention)</w:t>
      </w:r>
      <w:r w:rsidR="000407F4" w:rsidRPr="00577052">
        <w:rPr>
          <w:lang w:val="en-GB"/>
        </w:rPr>
        <w:t xml:space="preserve"> were used. </w:t>
      </w:r>
      <w:r w:rsidRPr="00577052">
        <w:rPr>
          <w:lang w:val="en-GB"/>
        </w:rPr>
        <w:t xml:space="preserve">NKF is a non-profit organisation in </w:t>
      </w:r>
      <w:r w:rsidRPr="00577052">
        <w:rPr>
          <w:lang w:val="en-GB"/>
        </w:rPr>
        <w:lastRenderedPageBreak/>
        <w:t xml:space="preserve">Singapore that provides community-based HD treatment. The study protocols were approved by the </w:t>
      </w:r>
      <w:r w:rsidRPr="00577052">
        <w:rPr>
          <w:color w:val="2A2A2A"/>
          <w:shd w:val="clear" w:color="auto" w:fill="FFFFFF"/>
          <w:lang w:eastAsia="en-US"/>
        </w:rPr>
        <w:t xml:space="preserve">institutional review board of National University of Singapore and are in compliance with the Helsinki declaration </w:t>
      </w:r>
      <w:r w:rsidRPr="00577052">
        <w:rPr>
          <w:color w:val="2A2A2A"/>
          <w:shd w:val="clear" w:color="auto" w:fill="FFFFFF"/>
          <w:lang w:eastAsia="en-US"/>
        </w:rPr>
        <w:fldChar w:fldCharType="begin" w:fldLock="1"/>
      </w:r>
      <w:r w:rsidR="00CC2D6A">
        <w:rPr>
          <w:color w:val="2A2A2A"/>
          <w:shd w:val="clear" w:color="auto" w:fill="FFFFFF"/>
          <w:lang w:eastAsia="en-US"/>
        </w:rPr>
        <w:instrText>ADDIN CSL_CITATION {"citationItems":[{"id":"ITEM-1","itemData":{"DOI":"10.1186/1471-2369-12-4","ISSN":"14712369","PMID":"21272382","abstract":"Background: Poor adherence to treatment is common in patients on hemodialysis which may increase risk for poor clinical outcomes and mortality. Self management interventions have been shown to be effective in improving compliance in other chronic populations. The aim of this trial is to evaluate the effectiveness of a recently developed group based self management intervention for hemodialysis patients compared to standard care. Methods/Design. This is a multicentre parallel arm block randomized controlled trial (RCT) of a four session group self management intervention for hemodialysis patients delivered by health care professionals compared to standard care. A total of 176 consenting adults maintained on hemodialysis for a minimum of 6 months will be randomized to receive the self management intervention or standard care. Primary outcomes are biochemical markers of clinical status and adherence. Secondary outcomes include general health related quality of life, disease-specific quality of life, mood, self efficacy and self-reported adherence. Outcomes will be measured at baseline, immediately post-intervention and at 3 and 9 months post-intervention by an independent assessor and analysed on intention to treat principles with linear mixed-effects models across all time points. A qualitative component will examine which aspects of program participants found particularly useful and any barriers to change. Discussion. The NKF-NUS intervention builds upon previous research emphasizing the importance of empowering patients in taking control of their treatment management. The trial design addresses weaknesses of previous research by use of an adequate sample size to detect clinically significant changes in biochemical markers, recruitment of a sufficiently large representative sample, a theory based intervention and careful assessment of both clinical and psychological endpoints at various follow up points. Inclusion of multiple dependent variables allows us to assess the broader impact on the intervention including both hard end points as well as patient reported outcomes. This program, if found to be effective, has the potential to be implemented within the existing renal services delivery model in Singapore, particularly as this is being delivered by health care professionals already working with hemodialysis patients in these settings who are specifically trained in facilitating self management in renal patients. Trial registration. Current Controlled T…","author":[{"dropping-particle":"","family":"Griva","given":"Konstadina","non-dropping-particle":"","parse-names":false,"suffix":""},{"dropping-particle":"","family":"Mooppil","given":"Nandakumar","non-dropping-particle":"","parse-names":false,"suffix":""},{"dropping-particle":"","family":"Seet","given":"Penny","non-dropping-particle":"","parse-names":false,"suffix":""},{"dropping-particle":"","family":"Krishnan","given":"Deby Sarojiuy Pala","non-dropping-particle":"","parse-names":false,"suffix":""},{"dropping-particle":"","family":"James","given":"Hayley","non-dropping-particle":"","parse-names":false,"suffix":""},{"dropping-particle":"","family":"Newman","given":"Stanton P.","non-dropping-particle":"","parse-names":false,"suffix":""}],"container-title":"BMC Nephrology","id":"ITEM-1","issued":{"date-parts":[["2011"]]},"page":"4","publisher":"BioMed Central Ltd","title":"The NKF-NUS hemodialysis trial protocol - A randomized controlled trial to determine the effectiveness of a self management intervention for hemodialysis patients","type":"article-journal","volume":"12"},"uris":["http://www.mendeley.com/documents/?uuid=5b526f24-8a16-4e77-8f27-20b966afdab1"]}],"mendeley":{"formattedCitation":"(Griva et al., 2011)","plainTextFormattedCitation":"(Griva et al., 2011)","previouslyFormattedCitation":"(Griva et al., 2011)"},"properties":{"noteIndex":0},"schema":"https://github.com/citation-style-language/schema/raw/master/csl-citation.json"}</w:instrText>
      </w:r>
      <w:r w:rsidRPr="00577052">
        <w:rPr>
          <w:color w:val="2A2A2A"/>
          <w:shd w:val="clear" w:color="auto" w:fill="FFFFFF"/>
          <w:lang w:eastAsia="en-US"/>
        </w:rPr>
        <w:fldChar w:fldCharType="separate"/>
      </w:r>
      <w:r w:rsidR="007D6381" w:rsidRPr="007D6381">
        <w:rPr>
          <w:noProof/>
          <w:color w:val="2A2A2A"/>
          <w:shd w:val="clear" w:color="auto" w:fill="FFFFFF"/>
          <w:lang w:eastAsia="en-US"/>
        </w:rPr>
        <w:t>(Griva et al., 2011)</w:t>
      </w:r>
      <w:r w:rsidRPr="00577052">
        <w:rPr>
          <w:color w:val="2A2A2A"/>
          <w:shd w:val="clear" w:color="auto" w:fill="FFFFFF"/>
          <w:lang w:eastAsia="en-US"/>
        </w:rPr>
        <w:fldChar w:fldCharType="end"/>
      </w:r>
      <w:r w:rsidRPr="00577052">
        <w:rPr>
          <w:color w:val="2A2A2A"/>
          <w:shd w:val="clear" w:color="auto" w:fill="FFFFFF"/>
          <w:lang w:eastAsia="en-US"/>
        </w:rPr>
        <w:t xml:space="preserve">. </w:t>
      </w:r>
      <w:r w:rsidRPr="00577052">
        <w:rPr>
          <w:lang w:val="en-GB"/>
        </w:rPr>
        <w:t xml:space="preserve">Details of the recruitment procedure can be found in previous publications </w:t>
      </w:r>
      <w:r w:rsidRPr="00577052">
        <w:rPr>
          <w:lang w:val="en-GB"/>
        </w:rPr>
        <w:fldChar w:fldCharType="begin" w:fldLock="1"/>
      </w:r>
      <w:r w:rsidR="00CC2D6A">
        <w:rPr>
          <w:lang w:val="en-GB"/>
        </w:rPr>
        <w:instrText>ADDIN CSL_CITATION {"citationItems":[{"id":"ITEM-1","itemData":{"DOI":"10.1053/j.ajkd.2017.09.014","ISSN":"15236838","abstract":"Background: Poor adherence to treatment is common in hemodialysis patients. However, effective interventions for adherence in this population are lacking. Small studies of behavioral interventions have yielded improvements, but clinical effectiveness and long-term effects are unclear. Study Design: Multicenter parallel (1:1) design, blinded cluster-randomized controlled trial. Setting &amp; Participants: Patients undergoing maintenance hemodialysis enrolled in 14 dialysis centers. Intervention: Dialysis shifts of eligible patients were randomly assigned to either an interactive and targeted self-management training program (HED-SMART; intervention; n = 134) or usual care (control; n = 101). HED-SMART, developed using the principles of problem solving and social learning theory, was delivered in a group format by health care professionals over 4 sessions. Outcomes &amp; Measurements: Serum potassium and phosphate concentrations, interdialytic weight gains (IDWGs), self-reported adherence, and self-management skills at 1 week, 3 months, and 9 months postintervention. Results: 235 participants were enrolled in the study (response rate, 44.2%), and 82.1% completed the protocol. IDWG was significantly lowered across all 3 assessments relative to baseline (P &lt; 0.001) among patients randomly assigned to HED-SMART. In contrast, IDWG in controls showed no change except at 3 months, when it worsened significantly. Improvements in mineral markers were noted in the HED-SMART arm at 3 months (P &lt; 0.001) and in potassium concentrations (P &lt; 0.001) at 9 months. Phosphate concentrations improved in HED-SMART at 3 months (P = 0.03), but these effects were not maintained at 9 months postintervention. Significant differences between the arms were found for the secondary outcomes of self-reported adherence, self-management skills, and self-efficacy at all time points. Limitations: Low proportion of patients with diabetes. Conclusions: HED-SMART provides an effective and practical model for improving health in hemodialysis patients. The observed improvements in clinical markers and self-report adherence, if maintained at the longer follow-up, could significantly reduce end-stage renal disease−related complications. Given the feasibility of this kind of program, it has strong potential for supplementing usual care. Trial Registration: Registered at ISRCTN with study number ISRCTN31434033.","author":[{"dropping-particle":"","family":"Griva","given":"Konstadina","non-dropping-particle":"","parse-names":false,"suffix":""},{"dropping-particle":"","family":"Nandakumar","given":"Mooppil","non-dropping-particle":"","parse-names":false,"suffix":""},{"dropping-particle":"","family":"Ng","given":"Jo-an H.","non-dropping-particle":"","parse-names":false,"suffix":""},{"dropping-particle":"","family":"Lam","given":"Kevin F.Y.","non-dropping-particle":"","parse-names":false,"suffix":""},{"dropping-particle":"","family":"McBain","given":"Hayley","non-dropping-particle":"","parse-names":false,"suffix":""},{"dropping-particle":"","family":"Newman","given":"Stanton P.","non-dropping-particle":"","parse-names":false,"suffix":""}],"container-title":"American Journal of Kidney Diseases","id":"ITEM-1","issue":"3","issued":{"date-parts":[["2018"]]},"page":"371-381","title":"Hemodialysis Self-management Intervention Randomized Trial (HED-SMART): A Practical Low-Intensity Intervention to Improve Adherence and Clinical Markers in Patients Receiving Hemodialysis","type":"article-journal","volume":"71"},"uris":["http://www.mendeley.com/documents/?uuid=86bcdaba-4ec1-442c-ac64-5c037a1905e1"]},{"id":"ITEM-2","itemData":{"DOI":"10.1016/j.jpsychores.2018.07.012","ISSN":"18791360","abstract":"Objective: Depression is often comorbid with End-Stage Renal Disease, and associated with poor adherence and clinical outcomes but course of symptoms is variable. This study sought to describe the long-term trajectories of anxiety and depression in hemodialysis patients, to identify predictors of these trajectories over 12 months and to evaluate the effectiveness of the HEmoDialysis Self-Management Randomized Trial (HED SMART) against usual care on symptoms of anxiety and depression. Methods: A secondary analysis of data from a randomized controlled trial that contrasted HED SMART (n = 101) against usual care (n = 134). Depressive and anxious symptoms were assessed using the Hospital Anxiety and Depression Scale (HADS) at baseline, 1 week and at 3 and 9 months post-intervention. Latent class growth analysis identified trajectories of depression and anxiety, and their sociodemographic and clinical predictors. Results: Symptoms of depression and anxiety over 12 months were characterized by two trajectories: low stable (depression: 55%; anxiety: 59%) with non-clinical levels of distress, and high stable (depression: 45%; anxiety: 41%) with clinical levels of distress. HED SMART predicted significant reductions in depression relative to usual care. A similar trend was noted for anxiety. Younger age, Chinese ethnicity, and more comorbidities were associated with persistent high depression. Younger age and shorter dialysis vintage was associated with persistent high anxiety. Conclusion: A brief self-management intervention designed to support behavioral change can also lead to significant reductions in symptoms of depression and may be of great value for younger HD patients shown to be at greater risk for persistent distress. Trial registration: ISRTN31434033.","author":[{"dropping-particle":"","family":"Griva","given":"Konstadina","non-dropping-particle":"","parse-names":false,"suffix":""},{"dropping-particle":"","family":"Lam","given":"Kevin F.Y.","non-dropping-particle":"","parse-names":false,"suffix":""},{"dropping-particle":"","family":"Nandakumar","given":"Mooppil","non-dropping-particle":"","parse-names":false,"suffix":""},{"dropping-particle":"","family":"Ng","given":"Jo an H.","non-dropping-particle":"","parse-names":false,"suffix":""},{"dropping-particle":"","family":"McBain","given":"Hayley","non-dropping-particle":"","parse-names":false,"suffix":""},{"dropping-particle":"","family":"Newman","given":"Stanton P.","non-dropping-particle":"","parse-names":false,"suffix":""}],"container-title":"Journal of Psychosomatic Research","id":"ITEM-2","issued":{"date-parts":[["2018"]]},"page":"37-44","title":"The effect of brief self-management intervention for hemodialysis patients (HED-SMART) on trajectories of depressive and anxious symptoms","type":"article-journal","volume":"113"},"uris":["http://www.mendeley.com/documents/?uuid=1f4a59f5-947b-4bc5-a64d-ec95590d2377"]},{"id":"ITEM-3","itemData":{"DOI":"10.1111/bjhp.12106","ISSN":"20448287","PMID":"24811542","abstract":"Objective. Depression is common in dialysis patients and has been shown to be associated with higher morbidity and mortality, but little is known about the course of symptoms over time. The current study set up to explore group and individual patterns of change in symptoms of anxiety and depression within the hemodialysis population and to identify socio-demographic, clinical, and psychological factors that may be associated with different trajectories of emotional distress. Methods. A total of 159 hemodialysis patients (n = 42 incident and n = 117 prevalent) completed the Hospital Anxiety and Depression Scale and social support and symptoms subscales from the Kidney Disease Quality of Life (Short Form) on two occasions 12 months apart. Clinical cut-offs were used to identify individual patterns of change in anxiety and depression symptoms across time, and analysis of variance (ANOVA) procedures were employed to establish potential correlates of these trajectories. Results. Mean levels of anxiety and depression symptoms remained unchanged over 1 year with 44.7-54.1% of patients above cut-off at both baseline and follow-up. Individual-level analyses showed that the course of symptoms does not follow a single trajectory. While most patients had either persistent symptoms of distress (39.6% and 31.8% for depression and anxiety, respectively) or no/low symptoms of distress (32.1% and 36.9% for depression and anxiety, respectively), a total of 12.7-18.5% patients either had new-onset symptoms of depression/anxiety or symptoms diminishing over time. Patients with persisting or new-onset symptoms of depression or anxiety reported reduced perceived social support and quality of social interaction compared to the subgroups with low depressive/anxious symptoms. Conclusion. Different patterns of symptoms reflect heterogeneity in patients' emotional reactions and adjustment. More research is needed to identify patients at risk for emotional distress and to explore social support in the context of dialysis.","author":[{"dropping-particle":"","family":"Ng","given":"Hui Juan","non-dropping-particle":"","parse-names":false,"suffix":""},{"dropping-particle":"","family":"Tan","given":"Wei Jie","non-dropping-particle":"","parse-names":false,"suffix":""},{"dropping-particle":"","family":"Mooppil","given":"Nandakumar","non-dropping-particle":"","parse-names":false,"suffix":""},{"dropping-particle":"","family":"Newman","given":"Stanton","non-dropping-particle":"","parse-names":false,"suffix":""},{"dropping-particle":"","family":"Griva","given":"Konstadina","non-dropping-particle":"","parse-names":false,"suffix":""}],"container-title":"British Journal of Health Psychology","id":"ITEM-3","issued":{"date-parts":[["2015"]]},"page":"374-395","title":"Prevalence and patterns of depression and anxiety in hemodialysis patients: A 12-month prospective study on incident and prevalent populations","type":"article-journal","volume":"20"},"uris":["http://www.mendeley.com/documents/?uuid=e33110c6-445b-4d9a-8856-084b4227ab4f"]},{"id":"ITEM-4","itemData":{"DOI":"10.1186/1471-2369-12-4","ISSN":"14712369","PMID":"21272382","abstract":"Background: Poor adherence to treatment is common in patients on hemodialysis which may increase risk for poor clinical outcomes and mortality. Self management interventions have been shown to be effective in improving compliance in other chronic populations. The aim of this trial is to evaluate the effectiveness of a recently developed group based self management intervention for hemodialysis patients compared to standard care. Methods/Design. This is a multicentre parallel arm block randomized controlled trial (RCT) of a four session group self management intervention for hemodialysis patients delivered by health care professionals compared to standard care. A total of 176 consenting adults maintained on hemodialysis for a minimum of 6 months will be randomized to receive the self management intervention or standard care. Primary outcomes are biochemical markers of clinical status and adherence. Secondary outcomes include general health related quality of life, disease-specific quality of life, mood, self efficacy and self-reported adherence. Outcomes will be measured at baseline, immediately post-intervention and at 3 and 9 months post-intervention by an independent assessor and analysed on intention to treat principles with linear mixed-effects models across all time points. A qualitative component will examine which aspects of program participants found particularly useful and any barriers to change. Discussion. The NKF-NUS intervention builds upon previous research emphasizing the importance of empowering patients in taking control of their treatment management. The trial design addresses weaknesses of previous research by use of an adequate sample size to detect clinically significant changes in biochemical markers, recruitment of a sufficiently large representative sample, a theory based intervention and careful assessment of both clinical and psychological endpoints at various follow up points. Inclusion of multiple dependent variables allows us to assess the broader impact on the intervention including both hard end points as well as patient reported outcomes. This program, if found to be effective, has the potential to be implemented within the existing renal services delivery model in Singapore, particularly as this is being delivered by health care professionals already working with hemodialysis patients in these settings who are specifically trained in facilitating self management in renal patients. Trial registration. Current Controlled T…","author":[{"dropping-particle":"","family":"Griva","given":"Konstadina","non-dropping-particle":"","parse-names":false,"suffix":""},{"dropping-particle":"","family":"Mooppil","given":"Nandakumar","non-dropping-particle":"","parse-names":false,"suffix":""},{"dropping-particle":"","family":"Seet","given":"Penny","non-dropping-particle":"","parse-names":false,"suffix":""},{"dropping-particle":"","family":"Krishnan","given":"Deby Sarojiuy Pala","non-dropping-particle":"","parse-names":false,"suffix":""},{"dropping-particle":"","family":"James","given":"Hayley","non-dropping-particle":"","parse-names":false,"suffix":""},{"dropping-particle":"","family":"Newman","given":"Stanton P.","non-dropping-particle":"","parse-names":false,"suffix":""}],"container-title":"BMC Nephrology","id":"ITEM-4","issued":{"date-parts":[["2011"]]},"page":"4","publisher":"BioMed Central Ltd","title":"The NKF-NUS hemodialysis trial protocol - A randomized controlled trial to determine the effectiveness of a self management intervention for hemodialysis patients","type":"article-journal","volume":"12"},"uris":["http://www.mendeley.com/documents/?uuid=5b526f24-8a16-4e77-8f27-20b966afdab1"]}],"mendeley":{"formattedCitation":"(Griva et al., 2011; Griva, Lam, et al., 2018; Griva, Nandakumar, et al., 2018; Ng et al., 2015)","plainTextFormattedCitation":"(Griva et al., 2011; Griva, Lam, et al., 2018; Griva, Nandakumar, et al., 2018; Ng et al., 2015)","previouslyFormattedCitation":"(Griva et al., 2011; Griva, Lam, et al., 2018; Griva, Nandakumar, et al., 2018; Ng et al., 2015)"},"properties":{"noteIndex":0},"schema":"https://github.com/citation-style-language/schema/raw/master/csl-citation.json"}</w:instrText>
      </w:r>
      <w:r w:rsidRPr="00577052">
        <w:rPr>
          <w:lang w:val="en-GB"/>
        </w:rPr>
        <w:fldChar w:fldCharType="separate"/>
      </w:r>
      <w:r w:rsidR="007D6381" w:rsidRPr="007D6381">
        <w:rPr>
          <w:noProof/>
          <w:lang w:val="en-GB"/>
        </w:rPr>
        <w:t>(Griva et al., 2011; Griva, Lam, et al., 2018; Griva, Nandakumar, et al., 2018; Ng et al., 2015)</w:t>
      </w:r>
      <w:r w:rsidRPr="00577052">
        <w:rPr>
          <w:lang w:val="en-GB"/>
        </w:rPr>
        <w:fldChar w:fldCharType="end"/>
      </w:r>
      <w:r w:rsidRPr="00577052">
        <w:rPr>
          <w:lang w:val="en-GB"/>
        </w:rPr>
        <w:t>.</w:t>
      </w:r>
    </w:p>
    <w:p w14:paraId="665949E7" w14:textId="750B7CD9" w:rsidR="00E31B68" w:rsidRPr="00577052" w:rsidRDefault="00FB1731" w:rsidP="00577052">
      <w:pPr>
        <w:spacing w:line="480" w:lineRule="auto"/>
        <w:contextualSpacing/>
        <w:rPr>
          <w:b/>
          <w:bCs/>
          <w:lang w:val="en-GB"/>
        </w:rPr>
      </w:pPr>
      <w:r w:rsidRPr="00577052">
        <w:rPr>
          <w:b/>
          <w:bCs/>
          <w:lang w:val="en-GB"/>
        </w:rPr>
        <w:t>Participants</w:t>
      </w:r>
    </w:p>
    <w:p w14:paraId="4D1B8AA9" w14:textId="660965A3" w:rsidR="00AE4332" w:rsidRPr="00577052" w:rsidRDefault="0007118B" w:rsidP="00577052">
      <w:pPr>
        <w:spacing w:line="480" w:lineRule="auto"/>
        <w:contextualSpacing/>
        <w:rPr>
          <w:lang w:val="en-GB"/>
        </w:rPr>
      </w:pPr>
      <w:r w:rsidRPr="00577052">
        <w:rPr>
          <w:lang w:val="en-GB"/>
        </w:rPr>
        <w:t>Participants were recruited from 1</w:t>
      </w:r>
      <w:r w:rsidR="00092045">
        <w:rPr>
          <w:lang w:val="en-GB"/>
        </w:rPr>
        <w:t>4</w:t>
      </w:r>
      <w:r w:rsidR="00F653FF" w:rsidRPr="00577052">
        <w:rPr>
          <w:lang w:val="en-GB"/>
        </w:rPr>
        <w:t xml:space="preserve"> NKF</w:t>
      </w:r>
      <w:r w:rsidRPr="00577052">
        <w:rPr>
          <w:lang w:val="en-GB"/>
        </w:rPr>
        <w:t xml:space="preserve"> dialysis centres across Singapor</w:t>
      </w:r>
      <w:r w:rsidR="00F653FF" w:rsidRPr="00577052">
        <w:rPr>
          <w:lang w:val="en-GB"/>
        </w:rPr>
        <w:t>e</w:t>
      </w:r>
      <w:r w:rsidRPr="00577052">
        <w:rPr>
          <w:lang w:val="en-GB"/>
        </w:rPr>
        <w:t xml:space="preserve">. </w:t>
      </w:r>
      <w:r w:rsidR="001B6A31" w:rsidRPr="00577052">
        <w:rPr>
          <w:lang w:val="en-GB"/>
        </w:rPr>
        <w:t>The i</w:t>
      </w:r>
      <w:r w:rsidRPr="00577052">
        <w:rPr>
          <w:lang w:val="en-GB"/>
        </w:rPr>
        <w:t xml:space="preserve">nclusion criteria </w:t>
      </w:r>
      <w:r w:rsidR="009A4BDF" w:rsidRPr="00577052">
        <w:rPr>
          <w:lang w:val="en-GB"/>
        </w:rPr>
        <w:t xml:space="preserve">were being 21 years of age or older, established on HD treatment in one of the NKF dialysis centres, and fluent in either English, Mandarin, or Malay. Individuals were excluded if they were only able to converse in dialects or Tamil, or had documented </w:t>
      </w:r>
      <w:r w:rsidR="001743C4" w:rsidRPr="00577052">
        <w:rPr>
          <w:lang w:val="en-GB"/>
        </w:rPr>
        <w:t>major sensory, motor, or cognitive impairments that would prohibit informed consent, or limited life expectancy due to comorbidity such as advanced stage/terminal malignancy. Individuals enlisted to participate in other interventions not part of usual care during the study duration were also excluded.</w:t>
      </w:r>
    </w:p>
    <w:p w14:paraId="5FE121C6" w14:textId="77777777" w:rsidR="00AE4332" w:rsidRPr="00577052" w:rsidRDefault="00AE4332" w:rsidP="00577052">
      <w:pPr>
        <w:spacing w:line="480" w:lineRule="auto"/>
        <w:contextualSpacing/>
        <w:rPr>
          <w:b/>
          <w:bCs/>
          <w:lang w:val="en-GB"/>
        </w:rPr>
      </w:pPr>
      <w:r w:rsidRPr="00577052">
        <w:rPr>
          <w:b/>
          <w:bCs/>
          <w:lang w:val="en-GB"/>
        </w:rPr>
        <w:t>Procedure</w:t>
      </w:r>
    </w:p>
    <w:p w14:paraId="7C05FF68" w14:textId="145E3E66" w:rsidR="003611FD" w:rsidRPr="00577052" w:rsidRDefault="00F452E0" w:rsidP="00577052">
      <w:pPr>
        <w:spacing w:line="480" w:lineRule="auto"/>
        <w:contextualSpacing/>
        <w:rPr>
          <w:lang w:val="en-GB"/>
        </w:rPr>
      </w:pPr>
      <w:r w:rsidRPr="00577052">
        <w:rPr>
          <w:lang w:val="en-GB"/>
        </w:rPr>
        <w:t>A list of eligible patients was provided by the nurse manage</w:t>
      </w:r>
      <w:r w:rsidR="004820D2" w:rsidRPr="00577052">
        <w:rPr>
          <w:lang w:val="en-GB"/>
        </w:rPr>
        <w:t xml:space="preserve">r </w:t>
      </w:r>
      <w:r w:rsidRPr="00577052">
        <w:rPr>
          <w:lang w:val="en-GB"/>
        </w:rPr>
        <w:t xml:space="preserve">in each participating dialysis centre who were aware of the </w:t>
      </w:r>
      <w:r w:rsidR="003611FD" w:rsidRPr="00577052">
        <w:rPr>
          <w:lang w:val="en-GB"/>
        </w:rPr>
        <w:t>eligibility</w:t>
      </w:r>
      <w:r w:rsidRPr="00577052">
        <w:rPr>
          <w:lang w:val="en-GB"/>
        </w:rPr>
        <w:t xml:space="preserve"> criteria.</w:t>
      </w:r>
      <w:r w:rsidR="003611FD" w:rsidRPr="00577052">
        <w:rPr>
          <w:lang w:val="en-GB"/>
        </w:rPr>
        <w:t xml:space="preserve"> A research team member fluent in the patients’ preferred language approached each patient for invitation to the study.</w:t>
      </w:r>
      <w:r w:rsidR="001B3A8B" w:rsidRPr="00577052">
        <w:rPr>
          <w:lang w:val="en-GB"/>
        </w:rPr>
        <w:t xml:space="preserve"> Patients were administered the questionnaires</w:t>
      </w:r>
      <w:r w:rsidR="00555896">
        <w:rPr>
          <w:lang w:val="en-GB"/>
        </w:rPr>
        <w:t xml:space="preserve"> (sociodemographic information and patient-reported outcomes)</w:t>
      </w:r>
      <w:r w:rsidR="001B3A8B" w:rsidRPr="00577052">
        <w:rPr>
          <w:lang w:val="en-GB"/>
        </w:rPr>
        <w:t xml:space="preserve"> if they consented to participate. Upon completion, participants were given a </w:t>
      </w:r>
      <w:r w:rsidR="009B7F3F">
        <w:rPr>
          <w:lang w:val="en-GB"/>
        </w:rPr>
        <w:t xml:space="preserve">small </w:t>
      </w:r>
      <w:r w:rsidR="001B3A8B" w:rsidRPr="00577052">
        <w:rPr>
          <w:lang w:val="en-GB"/>
        </w:rPr>
        <w:t>cash reimbursement.</w:t>
      </w:r>
      <w:r w:rsidR="007A2B2B" w:rsidRPr="00577052">
        <w:rPr>
          <w:lang w:val="en-GB"/>
        </w:rPr>
        <w:t xml:space="preserve"> </w:t>
      </w:r>
      <w:r w:rsidR="00337FA3">
        <w:rPr>
          <w:lang w:val="en-GB"/>
        </w:rPr>
        <w:t xml:space="preserve">Questionnaires were administered at baseline and at a 12-month follow-up. </w:t>
      </w:r>
      <w:r w:rsidR="007A2B2B" w:rsidRPr="00577052">
        <w:rPr>
          <w:lang w:val="en-GB"/>
        </w:rPr>
        <w:t xml:space="preserve">Procedures for </w:t>
      </w:r>
      <w:r w:rsidR="009B595D">
        <w:rPr>
          <w:lang w:val="en-GB"/>
        </w:rPr>
        <w:t xml:space="preserve">both </w:t>
      </w:r>
      <w:r w:rsidR="007A2B2B" w:rsidRPr="00577052">
        <w:rPr>
          <w:lang w:val="en-GB"/>
        </w:rPr>
        <w:t>assessment</w:t>
      </w:r>
      <w:r w:rsidR="009B595D">
        <w:rPr>
          <w:lang w:val="en-GB"/>
        </w:rPr>
        <w:t>s</w:t>
      </w:r>
      <w:r w:rsidR="007A2B2B" w:rsidRPr="00577052">
        <w:rPr>
          <w:lang w:val="en-GB"/>
        </w:rPr>
        <w:t xml:space="preserve"> were similar.</w:t>
      </w:r>
    </w:p>
    <w:p w14:paraId="3EDB69A4" w14:textId="50B55783" w:rsidR="0027758B" w:rsidRPr="00577052" w:rsidRDefault="0027758B" w:rsidP="00577052">
      <w:pPr>
        <w:spacing w:line="480" w:lineRule="auto"/>
        <w:contextualSpacing/>
        <w:rPr>
          <w:b/>
          <w:bCs/>
          <w:lang w:val="en-GB"/>
        </w:rPr>
      </w:pPr>
      <w:r w:rsidRPr="00577052">
        <w:rPr>
          <w:b/>
          <w:bCs/>
          <w:lang w:val="en-GB"/>
        </w:rPr>
        <w:t>Measures</w:t>
      </w:r>
    </w:p>
    <w:p w14:paraId="615D9BE9" w14:textId="28C4EC3C" w:rsidR="00D45B9B" w:rsidRPr="00577052" w:rsidRDefault="00593B9E" w:rsidP="00577052">
      <w:pPr>
        <w:spacing w:line="480" w:lineRule="auto"/>
        <w:contextualSpacing/>
        <w:rPr>
          <w:lang w:val="en-GB"/>
        </w:rPr>
      </w:pPr>
      <w:r w:rsidRPr="00577052">
        <w:rPr>
          <w:b/>
          <w:bCs/>
          <w:lang w:val="en-GB"/>
        </w:rPr>
        <w:t>Sociodemographic and clinical information.</w:t>
      </w:r>
      <w:r w:rsidR="009274B4" w:rsidRPr="00577052">
        <w:rPr>
          <w:lang w:val="en-GB"/>
        </w:rPr>
        <w:t xml:space="preserve"> </w:t>
      </w:r>
      <w:r w:rsidR="00D45B9B" w:rsidRPr="00577052">
        <w:rPr>
          <w:color w:val="2A2A2A"/>
          <w:shd w:val="clear" w:color="auto" w:fill="FFFFFF"/>
          <w:lang w:eastAsia="en-US"/>
        </w:rPr>
        <w:t xml:space="preserve">Self-reported demographic information was collected from each participant including </w:t>
      </w:r>
      <w:r w:rsidR="00D45B9B" w:rsidRPr="00577052">
        <w:rPr>
          <w:lang w:val="en-GB"/>
        </w:rPr>
        <w:t xml:space="preserve">gender, age, ethnicity, educational level, marital </w:t>
      </w:r>
      <w:r w:rsidR="00D45B9B" w:rsidRPr="00577052">
        <w:rPr>
          <w:lang w:val="en-GB"/>
        </w:rPr>
        <w:lastRenderedPageBreak/>
        <w:t>and employment status, and household income</w:t>
      </w:r>
      <w:r w:rsidR="00D45B9B" w:rsidRPr="00577052">
        <w:rPr>
          <w:color w:val="2A2A2A"/>
          <w:shd w:val="clear" w:color="auto" w:fill="FFFFFF"/>
          <w:lang w:eastAsia="en-US"/>
        </w:rPr>
        <w:t xml:space="preserve">. </w:t>
      </w:r>
      <w:r w:rsidR="00D45B9B" w:rsidRPr="00577052">
        <w:rPr>
          <w:color w:val="2A2A2A"/>
          <w:shd w:val="clear" w:color="auto" w:fill="FFFFFF"/>
          <w:lang w:val="en-GB" w:eastAsia="en-US"/>
        </w:rPr>
        <w:t>C</w:t>
      </w:r>
      <w:proofErr w:type="spellStart"/>
      <w:r w:rsidR="00D45B9B" w:rsidRPr="00577052">
        <w:rPr>
          <w:color w:val="2A2A2A"/>
          <w:shd w:val="clear" w:color="auto" w:fill="FFFFFF"/>
          <w:lang w:eastAsia="en-US"/>
        </w:rPr>
        <w:t>linical</w:t>
      </w:r>
      <w:proofErr w:type="spellEnd"/>
      <w:r w:rsidR="00D45B9B" w:rsidRPr="00577052">
        <w:rPr>
          <w:color w:val="2A2A2A"/>
          <w:shd w:val="clear" w:color="auto" w:fill="FFFFFF"/>
          <w:lang w:eastAsia="en-US"/>
        </w:rPr>
        <w:t xml:space="preserve"> variables extracted from the medical record included</w:t>
      </w:r>
      <w:r w:rsidR="00D45B9B" w:rsidRPr="00577052">
        <w:rPr>
          <w:lang w:eastAsia="en-US"/>
        </w:rPr>
        <w:t xml:space="preserve"> </w:t>
      </w:r>
      <w:r w:rsidR="00D45B9B" w:rsidRPr="00577052">
        <w:rPr>
          <w:lang w:val="en-GB"/>
        </w:rPr>
        <w:t xml:space="preserve">age at ESRD diagnosis; primary kidney disease diagnosis; duration on HD; presence of cerebrovascular disease, hypertension, and diabetes; the </w:t>
      </w:r>
      <w:proofErr w:type="spellStart"/>
      <w:r w:rsidR="00D45B9B" w:rsidRPr="00577052">
        <w:rPr>
          <w:lang w:val="en-GB"/>
        </w:rPr>
        <w:t>Charlson</w:t>
      </w:r>
      <w:proofErr w:type="spellEnd"/>
      <w:r w:rsidR="00D45B9B" w:rsidRPr="00577052">
        <w:rPr>
          <w:lang w:val="en-GB"/>
        </w:rPr>
        <w:t xml:space="preserve"> Comorbidity Index (CCI) </w:t>
      </w:r>
      <w:r w:rsidR="00D45B9B" w:rsidRPr="00577052">
        <w:rPr>
          <w:lang w:val="en-GB"/>
        </w:rPr>
        <w:fldChar w:fldCharType="begin" w:fldLock="1"/>
      </w:r>
      <w:r w:rsidR="00CC2D6A">
        <w:rPr>
          <w:lang w:val="en-GB"/>
        </w:rPr>
        <w:instrText>ADDIN CSL_CITATION {"citationItems":[{"id":"ITEM-1","itemData":{"DOI":"10.1016/S0272-6386(03)00415-3","ISSN":"02726386","PMID":"12830464","abstract":"Background: Accurate prediction of survival for patients with end-stage renal disease (ESRD) and multiple comorbid conditions is difficult. In nondialysis patients, the Charlson Comorbidity Index has been used to adjust for comorbidity. The purpose of this study is to assess the validity of the Charlson index in incident dialysis patients and modify the index for use specifically in this patient population. Methods: Subjects included all incident hemodialysis and peritoneal dialysis patients starting dialysis therapy between July 1, 1999, and November 30, 2000. These 237 patients formed a cohort from which new integer weights for Charlson comorbidities were derived using Cox proportional hazards modeling. Performance of the original Charlson index and the new ESRD comorbidity index were compared using Kaplan-Meier survival curves, change in likelihood ratio, and the c statistic. Results: After multivariate analysis and conversion of hazard ratios to index weights, only 6 of the original 18 Charlson variables were assigned the same weight and 6 variables were assigned a weight higher than in the original Charlson index. Using Kaplan-Meier survival curves, we found that both the original Charlson index and the new ESRD comorbidity index were associated with and able to describe a wide range of survival. However, the new study-specific index had better validated performance, indicated by a greater change in the likelihood ratio test and higher c statistic. Conclusion: This study indicates that the original Charlson index is a valid tool to assess comorbidity and predict survival in patients with ESRD. However, our modified ESRD comorbidity index had slightly better performance characteristics in this population. © 2003 by the National Kidney Foundation, Inc.","author":[{"dropping-particle":"","family":"Hemmelgarn","given":"Brenda R.","non-dropping-particle":"","parse-names":false,"suffix":""},{"dropping-particle":"","family":"Manns","given":"Braden J.","non-dropping-particle":"","parse-names":false,"suffix":""},{"dropping-particle":"","family":"Quan","given":"Hude","non-dropping-particle":"","parse-names":false,"suffix":""},{"dropping-particle":"","family":"Ghali","given":"William A.","non-dropping-particle":"","parse-names":false,"suffix":""}],"container-title":"American Journal of Kidney Diseases","id":"ITEM-1","issue":"1","issued":{"date-parts":[["2003"]]},"page":"125-132","publisher":"National Kidney Foundation, Inc.","title":"Adapting the Charlson comorbidity index for use in patients with ESRD","type":"article-journal","volume":"42"},"uris":["http://www.mendeley.com/documents/?uuid=99491413-413c-4f37-9cc3-57b8010bdabc"]},{"id":"ITEM-2","itemData":{"author":[{"dropping-particle":"","family":"Charlson","given":"Mary E.","non-dropping-particle":"","parse-names":false,"suffix":""},{"dropping-particle":"","family":"Pompei","given":"Peter","non-dropping-particle":"","parse-names":false,"suffix":""},{"dropping-particle":"","family":"Ales","given":"Kathy L.","non-dropping-particle":"","parse-names":false,"suffix":""},{"dropping-particle":"","family":"MacKenzie","given":"C. Ronald","non-dropping-particle":"","parse-names":false,"suffix":""}],"container-title":"Journal of Chronic Diseases","id":"ITEM-2","issue":"5","issued":{"date-parts":[["1987"]]},"page":"373-383","title":"A new method of classifying prognostic comorbodity in longitudinal studies: development and validation","type":"article-journal","volume":"40"},"uris":["http://www.mendeley.com/documents/?uuid=aa6d1d0c-c78d-4277-89cd-d672e0b2b868"]}],"mendeley":{"formattedCitation":"(Charlson et al., 1987; Hemmelgarn et al., 2003)","plainTextFormattedCitation":"(Charlson et al., 1987; Hemmelgarn et al., 2003)","previouslyFormattedCitation":"(Charlson et al., 1987; Hemmelgarn et al., 2003)"},"properties":{"noteIndex":0},"schema":"https://github.com/citation-style-language/schema/raw/master/csl-citation.json"}</w:instrText>
      </w:r>
      <w:r w:rsidR="00D45B9B" w:rsidRPr="00577052">
        <w:rPr>
          <w:lang w:val="en-GB"/>
        </w:rPr>
        <w:fldChar w:fldCharType="separate"/>
      </w:r>
      <w:r w:rsidR="007D6381" w:rsidRPr="007D6381">
        <w:rPr>
          <w:noProof/>
          <w:lang w:val="en-GB"/>
        </w:rPr>
        <w:t>(Charlson et al., 1987; Hemmelgarn et al., 2003)</w:t>
      </w:r>
      <w:r w:rsidR="00D45B9B" w:rsidRPr="00577052">
        <w:rPr>
          <w:lang w:val="en-GB"/>
        </w:rPr>
        <w:fldChar w:fldCharType="end"/>
      </w:r>
      <w:r w:rsidR="00D45B9B" w:rsidRPr="00577052">
        <w:rPr>
          <w:lang w:val="en-GB"/>
        </w:rPr>
        <w:t>; dialysis adequacy (Kt/V); biochemical lab assays</w:t>
      </w:r>
      <w:r w:rsidR="009F1677" w:rsidRPr="00577052">
        <w:rPr>
          <w:lang w:val="en-GB"/>
        </w:rPr>
        <w:t xml:space="preserve"> including </w:t>
      </w:r>
      <w:r w:rsidR="00D45B9B" w:rsidRPr="00577052">
        <w:rPr>
          <w:lang w:val="en-GB"/>
        </w:rPr>
        <w:t>serum phosphorus, serum potassium, and calcium-phosphorus product</w:t>
      </w:r>
      <w:r w:rsidR="003D0E38" w:rsidRPr="00577052">
        <w:rPr>
          <w:lang w:val="en-GB"/>
        </w:rPr>
        <w:t xml:space="preserve"> (Ca </w:t>
      </w:r>
      <w:r w:rsidR="003D0E38" w:rsidRPr="00577052">
        <w:rPr>
          <w:lang w:val="en-GB"/>
        </w:rPr>
        <w:sym w:font="Symbol" w:char="F0B4"/>
      </w:r>
      <w:r w:rsidR="003D0E38" w:rsidRPr="00577052">
        <w:rPr>
          <w:lang w:val="en-GB"/>
        </w:rPr>
        <w:t xml:space="preserve"> PO4)</w:t>
      </w:r>
      <w:r w:rsidR="00D45B9B" w:rsidRPr="00577052">
        <w:rPr>
          <w:lang w:val="en-GB"/>
        </w:rPr>
        <w:t>; and relative interdialytic weight gain (</w:t>
      </w:r>
      <w:proofErr w:type="spellStart"/>
      <w:r w:rsidR="00D45B9B" w:rsidRPr="00577052">
        <w:rPr>
          <w:lang w:val="en-GB"/>
        </w:rPr>
        <w:t>IDWGr</w:t>
      </w:r>
      <w:proofErr w:type="spellEnd"/>
      <w:r w:rsidR="00D45B9B" w:rsidRPr="00577052">
        <w:rPr>
          <w:lang w:val="en-GB"/>
        </w:rPr>
        <w:t xml:space="preserve">), which is the ratio of absolute IDWG to a patient’s dry weight </w:t>
      </w:r>
      <w:r w:rsidR="00D45B9B" w:rsidRPr="00577052">
        <w:t>at each midweek dialysis session during the assessment period</w:t>
      </w:r>
      <w:r w:rsidR="00834F94" w:rsidRPr="00577052">
        <w:t>.</w:t>
      </w:r>
      <w:r w:rsidR="00B33064" w:rsidRPr="00577052">
        <w:t xml:space="preserve"> The lab test results and </w:t>
      </w:r>
      <w:proofErr w:type="spellStart"/>
      <w:r w:rsidR="00B33064" w:rsidRPr="00577052">
        <w:t>IDWGr</w:t>
      </w:r>
      <w:proofErr w:type="spellEnd"/>
      <w:r w:rsidR="00B33064" w:rsidRPr="00577052">
        <w:t xml:space="preserve"> were collect at both baseline and 12-month follow-up.</w:t>
      </w:r>
    </w:p>
    <w:p w14:paraId="2C4D05A3" w14:textId="583E88B6" w:rsidR="0049684A" w:rsidRPr="00577052" w:rsidRDefault="005211A8" w:rsidP="00577052">
      <w:pPr>
        <w:spacing w:line="480" w:lineRule="auto"/>
        <w:contextualSpacing/>
        <w:rPr>
          <w:lang w:val="en-GB"/>
        </w:rPr>
      </w:pPr>
      <w:r w:rsidRPr="00577052">
        <w:rPr>
          <w:b/>
          <w:bCs/>
          <w:lang w:val="en-GB"/>
        </w:rPr>
        <w:t xml:space="preserve">Subjective cognitive complaints. </w:t>
      </w:r>
      <w:r w:rsidR="003844E3" w:rsidRPr="00577052">
        <w:rPr>
          <w:lang w:val="en-GB"/>
        </w:rPr>
        <w:t>SCCs</w:t>
      </w:r>
      <w:r w:rsidR="00CF73E4" w:rsidRPr="00577052">
        <w:rPr>
          <w:lang w:val="en-GB"/>
        </w:rPr>
        <w:t xml:space="preserve"> were measured </w:t>
      </w:r>
      <w:r w:rsidR="00B33256" w:rsidRPr="00577052">
        <w:rPr>
          <w:lang w:val="en-GB"/>
        </w:rPr>
        <w:t xml:space="preserve">at both time points </w:t>
      </w:r>
      <w:r w:rsidR="00CF73E4" w:rsidRPr="00577052">
        <w:rPr>
          <w:lang w:val="en-GB"/>
        </w:rPr>
        <w:t xml:space="preserve">by </w:t>
      </w:r>
      <w:r w:rsidR="0046762E" w:rsidRPr="00577052">
        <w:rPr>
          <w:lang w:val="en-GB"/>
        </w:rPr>
        <w:t>the Kidney Disease Quality of Life Cognitive Function subscale</w:t>
      </w:r>
      <w:r w:rsidR="0011213A" w:rsidRPr="00577052">
        <w:rPr>
          <w:lang w:val="en-GB"/>
        </w:rPr>
        <w:t xml:space="preserve"> (KDQOL-CF). The KDQOL is a measure of quality of life in patients with kidney disease </w:t>
      </w:r>
      <w:r w:rsidR="008E3AF7" w:rsidRPr="00577052">
        <w:rPr>
          <w:lang w:val="en-GB"/>
        </w:rPr>
        <w:fldChar w:fldCharType="begin" w:fldLock="1"/>
      </w:r>
      <w:r w:rsidR="00CC2D6A">
        <w:rPr>
          <w:lang w:val="en-GB"/>
        </w:rPr>
        <w:instrText>ADDIN CSL_CITATION {"citationItems":[{"id":"ITEM-1","itemData":{"DOI":"10.1007/BF00451725","ISSN":"09629343","PMID":"7841967","abstract":"This paper describes the Kidney Disease Quality of Life (KDQOLTM) Instrument (dialysis version), a self-report measure that includes a 36-item health survey as the generic core, supplemented with multi-item scales targeted at particular concerns of individuals with kidney disease and on dialysis (symptom/problems, effects of kidney disease on daily life, burden of kidney disease, cognitive function, work status, sexual function, quality of social interaction, sleep). Also included were multi-item measures of social support, dialysis staff encouragement and patient satisfaction, and a single-item overall rating of health. The KDQOLTM was administered to 165 individuals with kidney disease (52% female; 48% male; 47% White; 27% African-American; 11% Hispanic; 8% Asian; 4% Native American; and 3% other ethnicities), sampled from nine different outpatient dialysis centres located in Southern California, the Northwest, and the Midwest. The average age of the sample was 53 years (range from 22 to 87), and 10% were 75 years or older. Internal consistency reliability estimates for the 19 multi-item scales exceeded 0.75 for every measure except one. The mean scores for individuals in this sample on the 36-item health scales were lower than the general population by one-quarter (emotional well-being) to a full standard deviation (physical function, role limitations due to physical health, general health), but similar to scores for dialysis patients in other studies. Correlations of the KDQOLTM scales with number of hospital days in the last 6 months were statistically significant (p&lt;0.05) for 14 of the 19 scales and number of medications currently being taken for nine of the scales. Results of this study provide support for the reliability and validity of the KDQOLTM. © 1994 Rapid Communications of Oxford Ltd.","author":[{"dropping-particle":"","family":"Hays","given":"R. D.","non-dropping-particle":"","parse-names":false,"suffix":""},{"dropping-particle":"","family":"Kallich","given":"J. D.","non-dropping-particle":"","parse-names":false,"suffix":""},{"dropping-particle":"","family":"Mapes","given":"D. L.","non-dropping-particle":"","parse-names":false,"suffix":""},{"dropping-particle":"","family":"Coons","given":"S. J.","non-dropping-particle":"","parse-names":false,"suffix":""},{"dropping-particle":"","family":"Carter","given":"W. B.","non-dropping-particle":"","parse-names":false,"suffix":""}],"container-title":"Quality of Life Research","id":"ITEM-1","issued":{"date-parts":[["1994"]]},"page":"329-338","title":"Development of the Kidney Disease Quality of Life (KDQOL) Instrument","type":"article-journal","volume":"3"},"uris":["http://www.mendeley.com/documents/?uuid=39cd565e-d036-4d4c-af88-bdf12fa59ae9"]},{"id":"ITEM-2","itemData":{"DOI":"10.1016/S0149-2918(00)80087-9","ISSN":"1879114X","abstract":"Background: The Kidney Disease Quality of Life Instrument (KDQOL(TM)) was developed to provide clinicians with a comprehensive assessment of the important domains of health-related quality of life (HRQOL) for patients with end-stage renal disease who are undergoing hemodialysis. Objective: The purpose of this study was to develop subscales from the 55 items comprising the Symptoms/Problems and Effects of Kidney Disease scales of the KDQOL and to measure the internal consistency reliability of these subscales. Methods: The 55 items from the Symptoms/Problems and Effects of Kidney Disease scales were arranged into substantively meaningful clusters using an affinity mapping procedure. The resulting subscales were assessed for internal consistency reliability using data from a sample of 165 individuals with kidney disease who had completed the KDQOL. Results: Eleven multi-item subscales were identified: pain, psychological dependency, cognitive functioning, social functioning, dialysis-related symptoms, cardiopulmonary symptoms, sleep, energy, cramps, diet, and appetite. Four items (clotting or other problems with access site, high blood pressure, numbness in hands or feet, and blurred vision) were not included in any of these subscales. Internal consistency reliability estimates for the 11 subscales ranged from 0.66 to 0.92. These subscales correlated with the scales from the 36-Item Short-Form Health Survey as hypothesized (ie, corresponding pain, energy, and social functioning scales had the highest correlations). In addition, several subscales were significantly associated, as hypothesized, with other variables such as the number of disability days. Conclusions: The results of this study further support the reliability and validity of the KDQOL. The 11 subscales identified yield more detailed information on the HRQOL of patients with kidney disease and provide a basis for specific improvements in the quality of care delivered to these patients.","author":[{"dropping-particle":"","family":"Rao","given":"Sumati","non-dropping-particle":"","parse-names":false,"suffix":""},{"dropping-particle":"","family":"Carter","given":"William B.","non-dropping-particle":"","parse-names":false,"suffix":""},{"dropping-particle":"","family":"Mapes","given":"Donna L.","non-dropping-particle":"","parse-names":false,"suffix":""},{"dropping-particle":"","family":"Kallich","given":"Joel D.","non-dropping-particle":"","parse-names":false,"suffix":""},{"dropping-particle":"","family":"Kamberg","given":"Caren J.","non-dropping-particle":"","parse-names":false,"suffix":""},{"dropping-particle":"","family":"Spritzer","given":"Karen L.","non-dropping-particle":"","parse-names":false,"suffix":""},{"dropping-particle":"","family":"Hays","given":"Ron D.","non-dropping-particle":"","parse-names":false,"suffix":""}],"container-title":"Clinical Therapeutics","id":"ITEM-2","issue":"9","issued":{"date-parts":[["2000"]]},"page":"1099-1111","title":"Development of subscales from the symptoms/problems and effects of kidney disease scales of the Kidney Disease Quality of Life Instrument","type":"article-journal","volume":"22"},"uris":["http://www.mendeley.com/documents/?uuid=42793aa5-af04-4e33-9ad7-6a0f6ac3638e"]}],"mendeley":{"formattedCitation":"(Hays et al., 1994; Rao et al., 2000)","plainTextFormattedCitation":"(Hays et al., 1994; Rao et al., 2000)","previouslyFormattedCitation":"(Hays et al., 1994; Rao et al., 2000)"},"properties":{"noteIndex":0},"schema":"https://github.com/citation-style-language/schema/raw/master/csl-citation.json"}</w:instrText>
      </w:r>
      <w:r w:rsidR="008E3AF7" w:rsidRPr="00577052">
        <w:rPr>
          <w:lang w:val="en-GB"/>
        </w:rPr>
        <w:fldChar w:fldCharType="separate"/>
      </w:r>
      <w:r w:rsidR="007D6381" w:rsidRPr="007D6381">
        <w:rPr>
          <w:noProof/>
          <w:lang w:val="en-GB"/>
        </w:rPr>
        <w:t>(Hays et al., 1994; Rao et al., 2000)</w:t>
      </w:r>
      <w:r w:rsidR="008E3AF7" w:rsidRPr="00577052">
        <w:rPr>
          <w:lang w:val="en-GB"/>
        </w:rPr>
        <w:fldChar w:fldCharType="end"/>
      </w:r>
      <w:r w:rsidR="0011213A" w:rsidRPr="00577052">
        <w:rPr>
          <w:lang w:val="en-GB"/>
        </w:rPr>
        <w:t xml:space="preserve"> and has</w:t>
      </w:r>
      <w:r w:rsidR="008E3AF7" w:rsidRPr="00577052">
        <w:rPr>
          <w:lang w:val="en-GB"/>
        </w:rPr>
        <w:t xml:space="preserve"> been validated </w:t>
      </w:r>
      <w:r w:rsidR="003F78D2">
        <w:rPr>
          <w:lang w:val="en-GB"/>
        </w:rPr>
        <w:t>in</w:t>
      </w:r>
      <w:r w:rsidR="003D43F5">
        <w:rPr>
          <w:lang w:val="en-GB"/>
        </w:rPr>
        <w:t xml:space="preserve"> HD patients </w:t>
      </w:r>
      <w:r w:rsidR="008E3AF7" w:rsidRPr="00577052">
        <w:rPr>
          <w:lang w:val="en-GB"/>
        </w:rPr>
        <w:t>in Singapore</w:t>
      </w:r>
      <w:r w:rsidR="003D43F5">
        <w:rPr>
          <w:lang w:val="en-GB"/>
        </w:rPr>
        <w:t xml:space="preserve"> </w:t>
      </w:r>
      <w:r w:rsidR="008E3AF7" w:rsidRPr="00577052">
        <w:rPr>
          <w:lang w:val="en-GB"/>
        </w:rPr>
        <w:fldChar w:fldCharType="begin" w:fldLock="1"/>
      </w:r>
      <w:r w:rsidR="00CC2D6A">
        <w:rPr>
          <w:lang w:val="en-GB"/>
        </w:rPr>
        <w:instrText>ADDIN CSL_CITATION {"citationItems":[{"id":"ITEM-1","itemData":{"DOI":"10.1007/s40271-013-0015-2","ISSN":"11781653","PMID":"23613285","abstract":"Background: To validate a widely used health outcomes instrument for patients with chronic kidney disease and on dialysis, the Kidney Disease Quality of Life questionnaire (KDQOL-36), in English-speaking haemodialysis patients in Singapore. Methods: This study is a secondary data analysis using the KDQOL-SF (version 1.3) data collected from a cross-sectional survey of haemodialysis patients in Singapore. Cronbach's α was used to test internal consistency reliability. Multi-item scales were assessed using item-to-scale correlation and factor analysis. Both confirmatory and exploratory factor analyses were performed separately for generic and disease-targeted scales. Construct validity was assessed by correlation between disease-targeted and generic scales. Criterion validity was assessed by correlation of the physical component summary (PCS-12) and mental component summary (MCS-12) from KDQOL-36 with the corresponding PCS-36 and MCS-36 from the KDQOL-SF. Results: Three hundred ninety-four patients who completed the interviews in English [male 55.8 %, mean age (SD) 52.4 (11.7) years] were involved. Kidney disease scales exhibited desirable internal consistency (Cronbach's α 0.822-0.906) and item-to-scale correlation (range 0.763-0.903), and a three-factor model fit the data well [comparative fit index (CFI) 0.934, root mean square error of approximation (RMSEA) 0.085]. For the generic Short Form 12 Health Survey (SF-12) items, a two-factor model (physical and mental) showed poor overall fit, but a three-factor structure (role, physical and mental functions) achieved good model fit (CFI 0.999, RMSEA 0.027). Correlation between disease-targeted and generic scales was weak to moderate (range 0.286-0.418). Correlation between SF-12 and SF-36 was 0.750 for PCS and 0.797 for MCS. Conclusion: The English version of the KDQOL-36 appears to be reliable and valid to measure quality of life for haemodialysis patients in Singapore. © 2013 Springer International Publishing Switzerland.","author":[{"dropping-particle":"","family":"Yang","given":"Fan","non-dropping-particle":"","parse-names":false,"suffix":""},{"dropping-particle":"","family":"Wang","given":"Vivian Wei","non-dropping-particle":"","parse-names":false,"suffix":""},{"dropping-particle":"","family":"Joshi","given":"Veena Dhananjay","non-dropping-particle":"","parse-names":false,"suffix":""},{"dropping-particle":"","family":"Lau","given":"Titus Wai Leong","non-dropping-particle":"","parse-names":false,"suffix":""},{"dropping-particle":"","family":"Luo","given":"Nan","non-dropping-particle":"","parse-names":false,"suffix":""}],"container-title":"Patient","id":"ITEM-1","issued":{"date-parts":[["2013"]]},"page":"135-141","title":"Validation of the english version of the kidney disease quality of life questionnaire (KDQOL-36) in haemodialysis patients in Singapore","type":"article-journal","volume":"6"},"uris":["http://www.mendeley.com/documents/?uuid=a0b1b884-6242-402b-b8fc-095d135457c0"]},{"id":"ITEM-2","itemData":{"DOI":"10.1371/journal.pone.0155188","ISSN":"19326203","PMID":"27148742","abstract":"Aim The aim of this study was to evaluate the validity, reliability and sensitivity of the disease-specific items of the Kidney Disease Quality of Life-36 (KDQOL-36) in Chinese patients undergoing maintenance dialysis. Methods The content validity was assessed by content validity index (CVI) in ten subjects. 356 subjects were recruited for pilot psychometric testing. The internal construct validity was assessed by corrected item-subscale total correlation. Confirmatory factor analysis (CFA) was used to confirm the factor structure. The convergent validity was assessed by Pearson’s correlation test between the disease specific subscale scores and SF-12 version 2 Health Survey (SF-12 v2) scores. The reliability was assessed by the internal consistency (Cronbach’s Alpha coefficient) and 2-week test–retest reliability (intraclass correlation coefficient (ICC)). The sensitivity was determined by performing known group comparisons by independent t-test. Results The CVI on clarity and relevance was ≥ 0.9 for all items. Corrected item- total correlation scores were ≥0.4 for all, except an item related to problems with access site. CFA confirmed the 3-factor structure of the disease-specific component of the KDQOL-36. The correlation coefficients between the disease-specific domain scores and the SF-12 v2 physical and mental component summary scores ranged from 0.328 to 0.492. The reliability was good (Cronbach’s alpha coefficients ranged from 0.810 to 0.931, ICC ranged from 0.792 to 0.924). Only the effect subscale was sensitive in detecting differences in HRQOL between haemodialysis and peritoneal dialysis patients, with effect size = 0.68. Conclusion The disease-specific items of the KDQOL-36 are a valid, reliable and sensitive measure to assess the health-related quality of life of Chinese patients on maintenance dialysis.","author":[{"dropping-particle":"","family":"Chen","given":"Julie Y.","non-dropping-particle":"","parse-names":false,"suffix":""},{"dropping-particle":"","family":"Choi","given":"Edmond P.H.","non-dropping-particle":"","parse-names":false,"suffix":""},{"dropping-particle":"","family":"Wan","given":"Eric Y.F.","non-dropping-particle":"","parse-names":false,"suffix":""},{"dropping-particle":"","family":"Chan","given":"Anca K.C.","non-dropping-particle":"","parse-names":false,"suffix":""},{"dropping-particle":"","family":"Tsang","given":"Joyce P.Y.","non-dropping-particle":"","parse-names":false,"suffix":""},{"dropping-particle":"","family":"Chan","given":"Karina H.Y.","non-dropping-particle":"","parse-names":false,"suffix":""},{"dropping-particle":"","family":"Lo","given":"W. K.","non-dropping-particle":"","parse-names":false,"suffix":""},{"dropping-particle":"","family":"Lui","given":"S. L.","non-dropping-particle":"","parse-names":false,"suffix":""},{"dropping-particle":"","family":"Chu","given":"W. L.","non-dropping-particle":"","parse-names":false,"suffix":""},{"dropping-particle":"","family":"Lam","given":"Cindy L.K.","non-dropping-particle":"","parse-names":false,"suffix":""}],"container-title":"PLoS ONE","id":"ITEM-2","issue":"5","issued":{"date-parts":[["2016"]]},"page":"e0155188","title":"Validation of the disease-specific components of the kidney disease quality of Life-36 (KDQOL-36) in Chinese patients undergoing maintenance dialysis","type":"article-journal","volume":"11"},"uris":["http://www.mendeley.com/documents/?uuid=1cb10c62-f1d0-464c-95c4-f9bfff3d8016"]}],"mendeley":{"formattedCitation":"(Chen et al., 2016; Yang et al., 2013)","plainTextFormattedCitation":"(Chen et al., 2016; Yang et al., 2013)","previouslyFormattedCitation":"(Chen et al., 2016; Yang et al., 2013)"},"properties":{"noteIndex":0},"schema":"https://github.com/citation-style-language/schema/raw/master/csl-citation.json"}</w:instrText>
      </w:r>
      <w:r w:rsidR="008E3AF7" w:rsidRPr="00577052">
        <w:rPr>
          <w:lang w:val="en-GB"/>
        </w:rPr>
        <w:fldChar w:fldCharType="separate"/>
      </w:r>
      <w:r w:rsidR="007D6381" w:rsidRPr="007D6381">
        <w:rPr>
          <w:noProof/>
          <w:lang w:val="en-GB"/>
        </w:rPr>
        <w:t>(Chen et al., 2016; Yang et al., 2013)</w:t>
      </w:r>
      <w:r w:rsidR="008E3AF7" w:rsidRPr="00577052">
        <w:rPr>
          <w:lang w:val="en-GB"/>
        </w:rPr>
        <w:fldChar w:fldCharType="end"/>
      </w:r>
      <w:r w:rsidR="008E3AF7" w:rsidRPr="00577052">
        <w:rPr>
          <w:lang w:val="en-GB"/>
        </w:rPr>
        <w:t xml:space="preserve">. </w:t>
      </w:r>
      <w:r w:rsidR="00906805" w:rsidRPr="00577052">
        <w:rPr>
          <w:lang w:val="en-GB"/>
        </w:rPr>
        <w:t>The KDQOL-CF</w:t>
      </w:r>
      <w:r w:rsidR="006B57C4" w:rsidRPr="00577052">
        <w:rPr>
          <w:lang w:val="en-GB"/>
        </w:rPr>
        <w:t xml:space="preserve"> </w:t>
      </w:r>
      <w:r w:rsidR="003D43F5">
        <w:rPr>
          <w:lang w:val="en-GB"/>
        </w:rPr>
        <w:t xml:space="preserve">subscale assesses </w:t>
      </w:r>
      <w:r w:rsidR="00E23B11" w:rsidRPr="00577052">
        <w:rPr>
          <w:lang w:val="en-GB"/>
        </w:rPr>
        <w:t xml:space="preserve">SCCs using three items: </w:t>
      </w:r>
      <w:r w:rsidR="002570B4" w:rsidRPr="00577052">
        <w:rPr>
          <w:lang w:val="en-GB"/>
        </w:rPr>
        <w:t>“</w:t>
      </w:r>
      <w:r w:rsidR="00E23B11" w:rsidRPr="00577052">
        <w:rPr>
          <w:lang w:val="en-GB"/>
        </w:rPr>
        <w:t xml:space="preserve">During the past 4 weeks, </w:t>
      </w:r>
      <w:r w:rsidR="00087ACF" w:rsidRPr="00577052">
        <w:rPr>
          <w:lang w:val="en-GB"/>
        </w:rPr>
        <w:t xml:space="preserve">how much of the time </w:t>
      </w:r>
      <w:r w:rsidR="00E23B11" w:rsidRPr="00577052">
        <w:rPr>
          <w:lang w:val="en-GB"/>
        </w:rPr>
        <w:t>did you (1) react slowly to things that were said or done, (2) have difficulty concentrating or thinking, and (3) become confused</w:t>
      </w:r>
      <w:r w:rsidR="002570B4" w:rsidRPr="00577052">
        <w:rPr>
          <w:lang w:val="en-GB"/>
        </w:rPr>
        <w:t>”</w:t>
      </w:r>
      <w:r w:rsidR="00087ACF" w:rsidRPr="00577052">
        <w:rPr>
          <w:lang w:val="en-GB"/>
        </w:rPr>
        <w:t xml:space="preserve"> </w:t>
      </w:r>
      <w:r w:rsidR="00087ACF" w:rsidRPr="00577052">
        <w:rPr>
          <w:lang w:val="en-GB"/>
        </w:rPr>
        <w:fldChar w:fldCharType="begin" w:fldLock="1"/>
      </w:r>
      <w:r w:rsidR="00CC2D6A">
        <w:rPr>
          <w:lang w:val="en-GB"/>
        </w:rPr>
        <w:instrText>ADDIN CSL_CITATION {"citationItems":[{"id":"ITEM-1","itemData":{"DOI":"10.1111/j.1523-1755.2004.66024.x","ISSN":"00852538","PMID":"15569327","abstract":"Background.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International","id":"ITEM-1","issued":{"date-parts":[["2004"]]},"page":"2361-2367","title":"Validation of the Kidney Disease Quality of Life (KDQOL) Cognitive Function subscale","type":"article-journal","volume":"66"},"uris":["http://www.mendeley.com/documents/?uuid=beb6443f-f5ae-4cf7-86fb-b02742370254"]}],"mendeley":{"formattedCitation":"(Kurella et al., 2004)","plainTextFormattedCitation":"(Kurella et al., 2004)","previouslyFormattedCitation":"(Kurella et al., 2004)"},"properties":{"noteIndex":0},"schema":"https://github.com/citation-style-language/schema/raw/master/csl-citation.json"}</w:instrText>
      </w:r>
      <w:r w:rsidR="00087ACF" w:rsidRPr="00577052">
        <w:rPr>
          <w:lang w:val="en-GB"/>
        </w:rPr>
        <w:fldChar w:fldCharType="separate"/>
      </w:r>
      <w:r w:rsidR="007D6381" w:rsidRPr="007D6381">
        <w:rPr>
          <w:noProof/>
          <w:lang w:val="en-GB"/>
        </w:rPr>
        <w:t>(Kurella et al., 2004)</w:t>
      </w:r>
      <w:r w:rsidR="00087ACF" w:rsidRPr="00577052">
        <w:rPr>
          <w:lang w:val="en-GB"/>
        </w:rPr>
        <w:fldChar w:fldCharType="end"/>
      </w:r>
      <w:r w:rsidR="00E23B11" w:rsidRPr="00577052">
        <w:rPr>
          <w:lang w:val="en-GB"/>
        </w:rPr>
        <w:t>.</w:t>
      </w:r>
      <w:r w:rsidR="00277D5E" w:rsidRPr="00577052">
        <w:rPr>
          <w:lang w:val="en-GB"/>
        </w:rPr>
        <w:t xml:space="preserve"> </w:t>
      </w:r>
      <w:r w:rsidR="00087ACF" w:rsidRPr="00577052">
        <w:rPr>
          <w:lang w:val="en-GB"/>
        </w:rPr>
        <w:t xml:space="preserve">Participants </w:t>
      </w:r>
      <w:r w:rsidR="003B611B" w:rsidRPr="00577052">
        <w:rPr>
          <w:lang w:val="en-GB"/>
        </w:rPr>
        <w:t>were</w:t>
      </w:r>
      <w:r w:rsidR="00087ACF" w:rsidRPr="00577052">
        <w:rPr>
          <w:lang w:val="en-GB"/>
        </w:rPr>
        <w:t xml:space="preserve"> asked to respond on a six-point Likert scale ranging from “none of the time” to “all of the time”</w:t>
      </w:r>
      <w:r w:rsidR="007D0C56" w:rsidRPr="00577052">
        <w:rPr>
          <w:lang w:val="en-GB"/>
        </w:rPr>
        <w:t xml:space="preserve"> </w:t>
      </w:r>
      <w:r w:rsidR="007D0C56" w:rsidRPr="00577052">
        <w:rPr>
          <w:lang w:val="en-GB"/>
        </w:rPr>
        <w:fldChar w:fldCharType="begin" w:fldLock="1"/>
      </w:r>
      <w:r w:rsidR="00CC2D6A">
        <w:rPr>
          <w:lang w:val="en-GB"/>
        </w:rPr>
        <w:instrText>ADDIN CSL_CITATION {"citationItems":[{"id":"ITEM-1","itemData":{"DOI":"10.1111/j.1523-1755.2004.66024.x","ISSN":"00852538","PMID":"15569327","abstract":"Background.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International","id":"ITEM-1","issued":{"date-parts":[["2004"]]},"page":"2361-2367","title":"Validation of the Kidney Disease Quality of Life (KDQOL) Cognitive Function subscale","type":"article-journal","volume":"66"},"uris":["http://www.mendeley.com/documents/?uuid=beb6443f-f5ae-4cf7-86fb-b02742370254"]}],"mendeley":{"formattedCitation":"(Kurella et al., 2004)","plainTextFormattedCitation":"(Kurella et al., 2004)","previouslyFormattedCitation":"(Kurella et al., 2004)"},"properties":{"noteIndex":0},"schema":"https://github.com/citation-style-language/schema/raw/master/csl-citation.json"}</w:instrText>
      </w:r>
      <w:r w:rsidR="007D0C56" w:rsidRPr="00577052">
        <w:rPr>
          <w:lang w:val="en-GB"/>
        </w:rPr>
        <w:fldChar w:fldCharType="separate"/>
      </w:r>
      <w:r w:rsidR="007D6381" w:rsidRPr="007D6381">
        <w:rPr>
          <w:noProof/>
          <w:lang w:val="en-GB"/>
        </w:rPr>
        <w:t>(Kurella et al., 2004)</w:t>
      </w:r>
      <w:r w:rsidR="007D0C56" w:rsidRPr="00577052">
        <w:rPr>
          <w:lang w:val="en-GB"/>
        </w:rPr>
        <w:fldChar w:fldCharType="end"/>
      </w:r>
      <w:r w:rsidR="007D0C56" w:rsidRPr="00577052">
        <w:rPr>
          <w:lang w:val="en-GB"/>
        </w:rPr>
        <w:t>.</w:t>
      </w:r>
      <w:r w:rsidR="00073702" w:rsidRPr="00577052">
        <w:rPr>
          <w:lang w:val="en-GB"/>
        </w:rPr>
        <w:t xml:space="preserve"> The total score of KDQOL-CF ranges from 0 to 100, with higher scores indicat</w:t>
      </w:r>
      <w:r w:rsidR="008955C1" w:rsidRPr="00577052">
        <w:rPr>
          <w:lang w:val="en-GB"/>
        </w:rPr>
        <w:t>ing</w:t>
      </w:r>
      <w:r w:rsidR="00073702" w:rsidRPr="00577052">
        <w:rPr>
          <w:lang w:val="en-GB"/>
        </w:rPr>
        <w:t xml:space="preserve"> </w:t>
      </w:r>
      <w:r w:rsidR="008955C1" w:rsidRPr="00577052">
        <w:rPr>
          <w:lang w:val="en-GB"/>
        </w:rPr>
        <w:t>better</w:t>
      </w:r>
      <w:r w:rsidR="00073702" w:rsidRPr="00577052">
        <w:rPr>
          <w:lang w:val="en-GB"/>
        </w:rPr>
        <w:t xml:space="preserve"> </w:t>
      </w:r>
      <w:r w:rsidR="00366BFA" w:rsidRPr="00577052">
        <w:rPr>
          <w:lang w:val="en-GB"/>
        </w:rPr>
        <w:t xml:space="preserve">self-perceived </w:t>
      </w:r>
      <w:r w:rsidR="00073702" w:rsidRPr="00577052">
        <w:rPr>
          <w:lang w:val="en-GB"/>
        </w:rPr>
        <w:t>cognitive functioning</w:t>
      </w:r>
      <w:r w:rsidR="007548DE" w:rsidRPr="00577052">
        <w:rPr>
          <w:lang w:val="en-GB"/>
        </w:rPr>
        <w:t xml:space="preserve"> </w:t>
      </w:r>
      <w:r w:rsidR="007548DE" w:rsidRPr="00577052">
        <w:rPr>
          <w:lang w:val="en-GB"/>
        </w:rPr>
        <w:fldChar w:fldCharType="begin" w:fldLock="1"/>
      </w:r>
      <w:r w:rsidR="00CC2D6A">
        <w:rPr>
          <w:lang w:val="en-GB"/>
        </w:rPr>
        <w:instrText>ADDIN CSL_CITATION {"citationItems":[{"id":"ITEM-1","itemData":{"DOI":"10.1007/BF00451725","ISSN":"09629343","PMID":"7841967","abstract":"This paper describes the Kidney Disease Quality of Life (KDQOLTM) Instrument (dialysis version), a self-report measure that includes a 36-item health survey as the generic core, supplemented with multi-item scales targeted at particular concerns of individuals with kidney disease and on dialysis (symptom/problems, effects of kidney disease on daily life, burden of kidney disease, cognitive function, work status, sexual function, quality of social interaction, sleep). Also included were multi-item measures of social support, dialysis staff encouragement and patient satisfaction, and a single-item overall rating of health. The KDQOLTM was administered to 165 individuals with kidney disease (52% female; 48% male; 47% White; 27% African-American; 11% Hispanic; 8% Asian; 4% Native American; and 3% other ethnicities), sampled from nine different outpatient dialysis centres located in Southern California, the Northwest, and the Midwest. The average age of the sample was 53 years (range from 22 to 87), and 10% were 75 years or older. Internal consistency reliability estimates for the 19 multi-item scales exceeded 0.75 for every measure except one. The mean scores for individuals in this sample on the 36-item health scales were lower than the general population by one-quarter (emotional well-being) to a full standard deviation (physical function, role limitations due to physical health, general health), but similar to scores for dialysis patients in other studies. Correlations of the KDQOLTM scales with number of hospital days in the last 6 months were statistically significant (p&lt;0.05) for 14 of the 19 scales and number of medications currently being taken for nine of the scales. Results of this study provide support for the reliability and validity of the KDQOLTM. © 1994 Rapid Communications of Oxford Ltd.","author":[{"dropping-particle":"","family":"Hays","given":"R. D.","non-dropping-particle":"","parse-names":false,"suffix":""},{"dropping-particle":"","family":"Kallich","given":"J. D.","non-dropping-particle":"","parse-names":false,"suffix":""},{"dropping-particle":"","family":"Mapes","given":"D. L.","non-dropping-particle":"","parse-names":false,"suffix":""},{"dropping-particle":"","family":"Coons","given":"S. J.","non-dropping-particle":"","parse-names":false,"suffix":""},{"dropping-particle":"","family":"Carter","given":"W. B.","non-dropping-particle":"","parse-names":false,"suffix":""}],"container-title":"Quality of Life Research","id":"ITEM-1","issued":{"date-parts":[["1994"]]},"page":"329-338","title":"Development of the Kidney Disease Quality of Life (KDQOL) Instrument","type":"article-journal","volume":"3"},"uris":["http://www.mendeley.com/documents/?uuid=39cd565e-d036-4d4c-af88-bdf12fa59ae9"]},{"id":"ITEM-2","itemData":{"DOI":"10.1016/S0149-2918(00)80087-9","ISSN":"1879114X","abstract":"Background: The Kidney Disease Quality of Life Instrument (KDQOL(TM)) was developed to provide clinicians with a comprehensive assessment of the important domains of health-related quality of life (HRQOL) for patients with end-stage renal disease who are undergoing hemodialysis. Objective: The purpose of this study was to develop subscales from the 55 items comprising the Symptoms/Problems and Effects of Kidney Disease scales of the KDQOL and to measure the internal consistency reliability of these subscales. Methods: The 55 items from the Symptoms/Problems and Effects of Kidney Disease scales were arranged into substantively meaningful clusters using an affinity mapping procedure. The resulting subscales were assessed for internal consistency reliability using data from a sample of 165 individuals with kidney disease who had completed the KDQOL. Results: Eleven multi-item subscales were identified: pain, psychological dependency, cognitive functioning, social functioning, dialysis-related symptoms, cardiopulmonary symptoms, sleep, energy, cramps, diet, and appetite. Four items (clotting or other problems with access site, high blood pressure, numbness in hands or feet, and blurred vision) were not included in any of these subscales. Internal consistency reliability estimates for the 11 subscales ranged from 0.66 to 0.92. These subscales correlated with the scales from the 36-Item Short-Form Health Survey as hypothesized (ie, corresponding pain, energy, and social functioning scales had the highest correlations). In addition, several subscales were significantly associated, as hypothesized, with other variables such as the number of disability days. Conclusions: The results of this study further support the reliability and validity of the KDQOL. The 11 subscales identified yield more detailed information on the HRQOL of patients with kidney disease and provide a basis for specific improvements in the quality of care delivered to these patients.","author":[{"dropping-particle":"","family":"Rao","given":"Sumati","non-dropping-particle":"","parse-names":false,"suffix":""},{"dropping-particle":"","family":"Carter","given":"William B.","non-dropping-particle":"","parse-names":false,"suffix":""},{"dropping-particle":"","family":"Mapes","given":"Donna L.","non-dropping-particle":"","parse-names":false,"suffix":""},{"dropping-particle":"","family":"Kallich","given":"Joel D.","non-dropping-particle":"","parse-names":false,"suffix":""},{"dropping-particle":"","family":"Kamberg","given":"Caren J.","non-dropping-particle":"","parse-names":false,"suffix":""},{"dropping-particle":"","family":"Spritzer","given":"Karen L.","non-dropping-particle":"","parse-names":false,"suffix":""},{"dropping-particle":"","family":"Hays","given":"Ron D.","non-dropping-particle":"","parse-names":false,"suffix":""}],"container-title":"Clinical Therapeutics","id":"ITEM-2","issue":"9","issued":{"date-parts":[["2000"]]},"page":"1099-1111","title":"Development of subscales from the symptoms/problems and effects of kidney disease scales of the Kidney Disease Quality of Life Instrument","type":"article-journal","volume":"22"},"uris":["http://www.mendeley.com/documents/?uuid=42793aa5-af04-4e33-9ad7-6a0f6ac3638e"]}],"mendeley":{"formattedCitation":"(Hays et al., 1994; Rao et al., 2000)","plainTextFormattedCitation":"(Hays et al., 1994; Rao et al., 2000)","previouslyFormattedCitation":"(Hays et al., 1994; Rao et al., 2000)"},"properties":{"noteIndex":0},"schema":"https://github.com/citation-style-language/schema/raw/master/csl-citation.json"}</w:instrText>
      </w:r>
      <w:r w:rsidR="007548DE" w:rsidRPr="00577052">
        <w:rPr>
          <w:lang w:val="en-GB"/>
        </w:rPr>
        <w:fldChar w:fldCharType="separate"/>
      </w:r>
      <w:r w:rsidR="007D6381" w:rsidRPr="007D6381">
        <w:rPr>
          <w:noProof/>
          <w:lang w:val="en-GB"/>
        </w:rPr>
        <w:t>(Hays et al., 1994; Rao et al., 2000)</w:t>
      </w:r>
      <w:r w:rsidR="007548DE" w:rsidRPr="00577052">
        <w:rPr>
          <w:lang w:val="en-GB"/>
        </w:rPr>
        <w:fldChar w:fldCharType="end"/>
      </w:r>
      <w:r w:rsidR="00073702" w:rsidRPr="00577052">
        <w:rPr>
          <w:lang w:val="en-GB"/>
        </w:rPr>
        <w:t>.</w:t>
      </w:r>
      <w:r w:rsidR="00012183" w:rsidRPr="00577052">
        <w:rPr>
          <w:lang w:val="en-GB"/>
        </w:rPr>
        <w:t xml:space="preserve"> </w:t>
      </w:r>
      <w:r w:rsidR="00A978C8" w:rsidRPr="00577052">
        <w:rPr>
          <w:lang w:val="en-GB"/>
        </w:rPr>
        <w:t xml:space="preserve">A cut-off point </w:t>
      </w:r>
      <w:r w:rsidR="000B7462" w:rsidRPr="00577052">
        <w:rPr>
          <w:lang w:val="en-GB"/>
        </w:rPr>
        <w:t>of 60 on</w:t>
      </w:r>
      <w:r w:rsidR="00FF4255" w:rsidRPr="00577052">
        <w:rPr>
          <w:lang w:val="en-GB"/>
        </w:rPr>
        <w:t xml:space="preserve"> the KDQOL-CF </w:t>
      </w:r>
      <w:r w:rsidR="007D6809" w:rsidRPr="00577052">
        <w:rPr>
          <w:lang w:val="en-GB"/>
        </w:rPr>
        <w:t>was recommended</w:t>
      </w:r>
      <w:r w:rsidR="00D84D10" w:rsidRPr="00577052">
        <w:rPr>
          <w:lang w:val="en-GB"/>
        </w:rPr>
        <w:t xml:space="preserve"> by </w:t>
      </w:r>
      <w:proofErr w:type="spellStart"/>
      <w:r w:rsidR="00D84D10" w:rsidRPr="00577052">
        <w:rPr>
          <w:lang w:val="en-GB"/>
        </w:rPr>
        <w:t>Kurella</w:t>
      </w:r>
      <w:proofErr w:type="spellEnd"/>
      <w:r w:rsidR="00D84D10" w:rsidRPr="00577052">
        <w:rPr>
          <w:lang w:val="en-GB"/>
        </w:rPr>
        <w:t xml:space="preserve"> </w:t>
      </w:r>
      <w:r w:rsidR="00CC2D6A">
        <w:rPr>
          <w:lang w:val="en-GB"/>
        </w:rPr>
        <w:t xml:space="preserve">et al. </w:t>
      </w:r>
      <w:r w:rsidR="00CC2D6A" w:rsidRPr="00577052">
        <w:rPr>
          <w:lang w:val="en-GB"/>
        </w:rPr>
        <w:fldChar w:fldCharType="begin" w:fldLock="1"/>
      </w:r>
      <w:r w:rsidR="004A1A66">
        <w:rPr>
          <w:lang w:val="en-GB"/>
        </w:rPr>
        <w:instrText>ADDIN CSL_CITATION {"citationItems":[{"id":"ITEM-1","itemData":{"DOI":"10.1111/j.1523-1755.2004.66024.x","ISSN":"00852538","PMID":"15569327","abstract":"Background.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International","id":"ITEM-1","issued":{"date-parts":[["2004"]]},"page":"2361-2367","title":"Validation of the Kidney Disease Quality of Life (KDQOL) Cognitive Function subscale","type":"article-journal","volume":"66"},"suppress-author":1,"uris":["http://www.mendeley.com/documents/?uuid=beb6443f-f5ae-4cf7-86fb-b02742370254"]}],"mendeley":{"formattedCitation":"(2004)","plainTextFormattedCitation":"(2004)","previouslyFormattedCitation":"(2004)"},"properties":{"noteIndex":0},"schema":"https://github.com/citation-style-language/schema/raw/master/csl-citation.json"}</w:instrText>
      </w:r>
      <w:r w:rsidR="00CC2D6A" w:rsidRPr="00577052">
        <w:rPr>
          <w:lang w:val="en-GB"/>
        </w:rPr>
        <w:fldChar w:fldCharType="separate"/>
      </w:r>
      <w:r w:rsidR="00CC2D6A" w:rsidRPr="00CC2D6A">
        <w:rPr>
          <w:noProof/>
          <w:lang w:val="en-GB"/>
        </w:rPr>
        <w:t>(2004)</w:t>
      </w:r>
      <w:r w:rsidR="00CC2D6A" w:rsidRPr="00577052">
        <w:rPr>
          <w:lang w:val="en-GB"/>
        </w:rPr>
        <w:fldChar w:fldCharType="end"/>
      </w:r>
      <w:r w:rsidR="00171426" w:rsidRPr="00577052">
        <w:rPr>
          <w:lang w:val="en-GB"/>
        </w:rPr>
        <w:t xml:space="preserve"> to differentiate ESRD patients with and without probable </w:t>
      </w:r>
      <w:r w:rsidR="00723B94" w:rsidRPr="00577052">
        <w:rPr>
          <w:lang w:val="en-GB"/>
        </w:rPr>
        <w:t>CIs</w:t>
      </w:r>
      <w:r w:rsidR="00171426" w:rsidRPr="00577052">
        <w:rPr>
          <w:lang w:val="en-GB"/>
        </w:rPr>
        <w:t>.</w:t>
      </w:r>
    </w:p>
    <w:p w14:paraId="6F18A284" w14:textId="3F79EE2E" w:rsidR="00FA36C7" w:rsidRPr="00577052" w:rsidRDefault="0049684A" w:rsidP="00577052">
      <w:pPr>
        <w:spacing w:line="480" w:lineRule="auto"/>
        <w:contextualSpacing/>
        <w:rPr>
          <w:lang w:val="en-GB"/>
        </w:rPr>
      </w:pPr>
      <w:r w:rsidRPr="00577052">
        <w:rPr>
          <w:b/>
          <w:bCs/>
          <w:lang w:val="en-GB"/>
        </w:rPr>
        <w:t>Self-efficacy.</w:t>
      </w:r>
      <w:r w:rsidRPr="00577052">
        <w:rPr>
          <w:lang w:val="en-GB"/>
        </w:rPr>
        <w:t xml:space="preserve"> </w:t>
      </w:r>
      <w:r w:rsidR="00B25335" w:rsidRPr="00577052">
        <w:rPr>
          <w:lang w:val="en-GB"/>
        </w:rPr>
        <w:t>Self-efficacy was measured</w:t>
      </w:r>
      <w:r w:rsidR="006410B9">
        <w:rPr>
          <w:lang w:val="en-GB"/>
        </w:rPr>
        <w:t xml:space="preserve"> by </w:t>
      </w:r>
      <w:r w:rsidR="00B25335" w:rsidRPr="00577052">
        <w:rPr>
          <w:lang w:val="en-GB"/>
        </w:rPr>
        <w:t xml:space="preserve">two </w:t>
      </w:r>
      <w:r w:rsidR="00FA36C7" w:rsidRPr="00577052">
        <w:rPr>
          <w:lang w:val="en-GB"/>
        </w:rPr>
        <w:t xml:space="preserve">scales: the 6-item Self-Efficacy to Manage Chronic Disease (SEMCD) scale to measure self-efficacy for general demands of chronic disease (e.g., “How confident are you that you can keep the physical discomfort or pain of your disease from interfering with the things you want to do”) </w:t>
      </w:r>
      <w:r w:rsidR="00FA36C7" w:rsidRPr="00577052">
        <w:rPr>
          <w:lang w:val="en-GB"/>
        </w:rPr>
        <w:fldChar w:fldCharType="begin" w:fldLock="1"/>
      </w:r>
      <w:r w:rsidR="00CC2D6A">
        <w:rPr>
          <w:lang w:val="en-GB"/>
        </w:rPr>
        <w:instrText>ADDIN CSL_CITATION {"citationItems":[{"id":"ITEM-1","itemData":{"DOI":"10.1016/j.jclinepi.2014.06.009","ISBN":"6507250422","ISSN":"18785921","PMID":"25091546","abstract":"Objectives Self-efficacy theory, as developed by Bandura, suggests that self-efficacy is an important predictor of future behavior. The Chronic Disease Self-Management Program was designed to enhance self-efficacy as one approach to improving health behaviors and outcomes for people with varying chronic diseases. The six-item Self-Efficacy to Manage Chronic Disease Scale (SEMCD) and the four-item Spanish-language version (SEMCD-S) were developed to measure changes in self-efficacy in program participants and have been used in a numerous evaluations of chronic disease self-management programs. This study describes the development of the scales and their psychometric properties. Study Design and Setting Secondary analyses of questionnaire data from 2,866 participants in six studies are used to quantify and evaluate the SEMCD. Data from 868 participants in two studies are used for the SEMCD-S. Subjects consisted of individuals with various chronic conditions, who enrolled in chronic disease self-management programs (either small group or Internet based). Subjects came from United States, England, Canada, Mexico, and Australia. Descriptive statistics are summarized, reliability tested (Cronbach alpha), and principal component analyses applied to items. Baseline and change scores are correlated with baseline and change scores for five medical outcome variables that have been shown to be associated with self-efficacy measures in past studies. Results: Principal component analyses confirmed the one-dimensional structure of the scales. The SEMCD had means ranging from 4.9 to 6.1 and the SEMCD-S 6.1 and 6.2. Internal consistency was high (Cronbach alpha, 0.88-0.95). The scales were sensitive to change and significantly correlated with health outcomes. Conclusion The SEMCD and SEMCD-S are reliable and appear to be valid instruments for assessing self-efficacy for managing chronic disease. There was remarkable consistency across a range of studies from varying countries using two languages.","author":[{"dropping-particle":"","family":"Ritter","given":"Philip L.","non-dropping-particle":"","parse-names":false,"suffix":""},{"dropping-particle":"","family":"Lorig","given":"Kate","non-dropping-particle":"","parse-names":false,"suffix":""}],"container-title":"Journal of Clinical Epidemiology","id":"ITEM-1","issued":{"date-parts":[["2014"]]},"page":"1265-1273","publisher":"Elsevier Inc","title":"The English and Spanish Self-Efficacy to Manage Chronic Disease Scale measures were validated using multiple studies","type":"article-journal","volume":"67"},"uris":["http://www.mendeley.com/documents/?uuid=1aaab75b-1594-44d1-84aa-b38d836678c9"]}],"mendeley":{"formattedCitation":"(Ritter &amp; Lorig, 2014)","plainTextFormattedCitation":"(Ritter &amp; Lorig, 2014)","previouslyFormattedCitation":"(Ritter &amp; Lorig, 2014)"},"properties":{"noteIndex":0},"schema":"https://github.com/citation-style-language/schema/raw/master/csl-citation.json"}</w:instrText>
      </w:r>
      <w:r w:rsidR="00FA36C7" w:rsidRPr="00577052">
        <w:rPr>
          <w:lang w:val="en-GB"/>
        </w:rPr>
        <w:fldChar w:fldCharType="separate"/>
      </w:r>
      <w:r w:rsidR="007D6381" w:rsidRPr="007D6381">
        <w:rPr>
          <w:noProof/>
          <w:lang w:val="en-GB"/>
        </w:rPr>
        <w:t>(Ritter &amp; Lorig, 2014)</w:t>
      </w:r>
      <w:r w:rsidR="00FA36C7" w:rsidRPr="00577052">
        <w:rPr>
          <w:lang w:val="en-GB"/>
        </w:rPr>
        <w:fldChar w:fldCharType="end"/>
      </w:r>
      <w:r w:rsidR="00FA36C7" w:rsidRPr="00577052">
        <w:rPr>
          <w:lang w:val="en-GB"/>
        </w:rPr>
        <w:t xml:space="preserve"> and a </w:t>
      </w:r>
      <w:r w:rsidR="00FA36C7" w:rsidRPr="00577052">
        <w:rPr>
          <w:lang w:val="en-GB"/>
        </w:rPr>
        <w:lastRenderedPageBreak/>
        <w:t xml:space="preserve">dialysis-specific scale, the Self-Efficacy to Adhere to Treatment Recommendations (SEATR) scale. </w:t>
      </w:r>
      <w:r w:rsidR="0079413F" w:rsidRPr="00577052">
        <w:rPr>
          <w:lang w:val="en-GB"/>
        </w:rPr>
        <w:t xml:space="preserve">The latter was developed following formative qualitative work with HD patients </w:t>
      </w:r>
      <w:r w:rsidR="0079413F" w:rsidRPr="00577052">
        <w:rPr>
          <w:lang w:val="en-GB"/>
        </w:rPr>
        <w:fldChar w:fldCharType="begin" w:fldLock="1"/>
      </w:r>
      <w:r w:rsidR="00CC2D6A">
        <w:rPr>
          <w:lang w:val="en-GB"/>
        </w:rPr>
        <w:instrText>ADDIN CSL_CITATION {"citationItems":[{"id":"ITEM-1","itemData":{"DOI":"10.1080/08870446.2012.703670","ISSN":"08870446","PMID":"22780853","abstract":"Although adherence to hemodialysis (HD) regimes is important to maximise good clinical outcomes, it remains suboptimal and not well understood, particularly for those in non-Western settings and patients from Asian cultures. This qualitative study sought to explore cultural perspectives on facilitators and barriers to treatment adherence in HD patients. A descriptive exploratory design was used for the study, incorporating individual semi-structured interviews (n = 17) and three focus groups (n = 20). Each interview/focus group was audio-taped and transcribed verbatim, and coding was conducted by two coders using an iterative process. Study participants identified personal and social/contextual factors as major barriers or facilitators of treatment adherence. Barriers include time consumption, forgetfulness, concerns about safety, poor knowledge/understanding, poor communication and lack of control/social pressure. Participants also identified facilitators, both internal (self-initiated) and external (initiated by family, health care professional and peers) to ensure treatment adherence. These included support from family members and social obligation towards others, risk perception, establishment of routines and peer support. Internal and external factors can hinder or facilitate adherence to diet, fluid and medications in the context of dialysis. Several of these barriers/facilitators can be effectively addressed in the context of interventions and psycho-educational programmes. © 2013 Copyright Taylor and Francis Group, LLC.","author":[{"dropping-particle":"","family":"Griva","given":"Konstadina","non-dropping-particle":"","parse-names":false,"suffix":""},{"dropping-particle":"","family":"Ng","given":"H. J.","non-dropping-particle":"","parse-names":false,"suffix":""},{"dropping-particle":"","family":"Loei","given":"J.","non-dropping-particle":"","parse-names":false,"suffix":""},{"dropping-particle":"","family":"Mooppil","given":"N.","non-dropping-particle":"","parse-names":false,"suffix":""},{"dropping-particle":"","family":"McBain","given":"H.","non-dropping-particle":"","parse-names":false,"suffix":""},{"dropping-particle":"","family":"Newman","given":"Stanton Peter","non-dropping-particle":"","parse-names":false,"suffix":""}],"container-title":"Psychology and Health","id":"ITEM-1","issue":"1","issued":{"date-parts":[["2013"]]},"page":"13-29","title":"Managing treatment for end-stage renal disease - A qualitative study exploring cultural perspectives on facilitators and barriers to treatment adherence","type":"article-journal","volume":"28"},"uris":["http://www.mendeley.com/documents/?uuid=5ccf4a87-419c-4ca2-8647-60091b605328"]}],"mendeley":{"formattedCitation":"(Griva et al., 2013)","plainTextFormattedCitation":"(Griva et al., 2013)","previouslyFormattedCitation":"(Griva et al., 2013)"},"properties":{"noteIndex":0},"schema":"https://github.com/citation-style-language/schema/raw/master/csl-citation.json"}</w:instrText>
      </w:r>
      <w:r w:rsidR="0079413F" w:rsidRPr="00577052">
        <w:rPr>
          <w:lang w:val="en-GB"/>
        </w:rPr>
        <w:fldChar w:fldCharType="separate"/>
      </w:r>
      <w:r w:rsidR="007D6381" w:rsidRPr="007D6381">
        <w:rPr>
          <w:noProof/>
          <w:lang w:val="en-GB"/>
        </w:rPr>
        <w:t>(Griva et al., 2013)</w:t>
      </w:r>
      <w:r w:rsidR="0079413F" w:rsidRPr="00577052">
        <w:rPr>
          <w:lang w:val="en-GB"/>
        </w:rPr>
        <w:fldChar w:fldCharType="end"/>
      </w:r>
      <w:r w:rsidR="0079413F" w:rsidRPr="00577052">
        <w:rPr>
          <w:lang w:val="en-GB"/>
        </w:rPr>
        <w:t xml:space="preserve">, review by expert panel of renal health professionals, and a pilot with four HD patients </w:t>
      </w:r>
      <w:r w:rsidR="0079413F" w:rsidRPr="00577052">
        <w:rPr>
          <w:lang w:val="en-GB"/>
        </w:rPr>
        <w:fldChar w:fldCharType="begin" w:fldLock="1"/>
      </w:r>
      <w:r w:rsidR="00CC2D6A">
        <w:rPr>
          <w:lang w:val="en-GB"/>
        </w:rPr>
        <w:instrText>ADDIN CSL_CITATION {"citationItems":[{"id":"ITEM-1","itemData":{"DOI":"10.1186/1471-2369-12-4","ISSN":"14712369","PMID":"21272382","abstract":"Background: Poor adherence to treatment is common in patients on hemodialysis which may increase risk for poor clinical outcomes and mortality. Self management interventions have been shown to be effective in improving compliance in other chronic populations. The aim of this trial is to evaluate the effectiveness of a recently developed group based self management intervention for hemodialysis patients compared to standard care. Methods/Design. This is a multicentre parallel arm block randomized controlled trial (RCT) of a four session group self management intervention for hemodialysis patients delivered by health care professionals compared to standard care. A total of 176 consenting adults maintained on hemodialysis for a minimum of 6 months will be randomized to receive the self management intervention or standard care. Primary outcomes are biochemical markers of clinical status and adherence. Secondary outcomes include general health related quality of life, disease-specific quality of life, mood, self efficacy and self-reported adherence. Outcomes will be measured at baseline, immediately post-intervention and at 3 and 9 months post-intervention by an independent assessor and analysed on intention to treat principles with linear mixed-effects models across all time points. A qualitative component will examine which aspects of program participants found particularly useful and any barriers to change. Discussion. The NKF-NUS intervention builds upon previous research emphasizing the importance of empowering patients in taking control of their treatment management. The trial design addresses weaknesses of previous research by use of an adequate sample size to detect clinically significant changes in biochemical markers, recruitment of a sufficiently large representative sample, a theory based intervention and careful assessment of both clinical and psychological endpoints at various follow up points. Inclusion of multiple dependent variables allows us to assess the broader impact on the intervention including both hard end points as well as patient reported outcomes. This program, if found to be effective, has the potential to be implemented within the existing renal services delivery model in Singapore, particularly as this is being delivered by health care professionals already working with hemodialysis patients in these settings who are specifically trained in facilitating self management in renal patients. Trial registration. Current Controlled T…","author":[{"dropping-particle":"","family":"Griva","given":"Konstadina","non-dropping-particle":"","parse-names":false,"suffix":""},{"dropping-particle":"","family":"Mooppil","given":"Nandakumar","non-dropping-particle":"","parse-names":false,"suffix":""},{"dropping-particle":"","family":"Seet","given":"Penny","non-dropping-particle":"","parse-names":false,"suffix":""},{"dropping-particle":"","family":"Krishnan","given":"Deby Sarojiuy Pala","non-dropping-particle":"","parse-names":false,"suffix":""},{"dropping-particle":"","family":"James","given":"Hayley","non-dropping-particle":"","parse-names":false,"suffix":""},{"dropping-particle":"","family":"Newman","given":"Stanton P.","non-dropping-particle":"","parse-names":false,"suffix":""}],"container-title":"BMC Nephrology","id":"ITEM-1","issued":{"date-parts":[["2011"]]},"page":"4","publisher":"BioMed Central Ltd","title":"The NKF-NUS hemodialysis trial protocol - A randomized controlled trial to determine the effectiveness of a self management intervention for hemodialysis patients","type":"article-journal","volume":"12"},"uris":["http://www.mendeley.com/documents/?uuid=5b526f24-8a16-4e77-8f27-20b966afdab1"]}],"mendeley":{"formattedCitation":"(Griva et al., 2011)","plainTextFormattedCitation":"(Griva et al., 2011)","previouslyFormattedCitation":"(Griva et al., 2011)"},"properties":{"noteIndex":0},"schema":"https://github.com/citation-style-language/schema/raw/master/csl-citation.json"}</w:instrText>
      </w:r>
      <w:r w:rsidR="0079413F" w:rsidRPr="00577052">
        <w:rPr>
          <w:lang w:val="en-GB"/>
        </w:rPr>
        <w:fldChar w:fldCharType="separate"/>
      </w:r>
      <w:r w:rsidR="007D6381" w:rsidRPr="007D6381">
        <w:rPr>
          <w:noProof/>
          <w:lang w:val="en-GB"/>
        </w:rPr>
        <w:t>(Griva et al., 2011)</w:t>
      </w:r>
      <w:r w:rsidR="0079413F" w:rsidRPr="00577052">
        <w:rPr>
          <w:lang w:val="en-GB"/>
        </w:rPr>
        <w:fldChar w:fldCharType="end"/>
      </w:r>
      <w:r w:rsidR="0079413F" w:rsidRPr="00577052">
        <w:rPr>
          <w:lang w:val="en-GB"/>
        </w:rPr>
        <w:t xml:space="preserve">. The SEATR contains eight items that assess participants’ self-confidence to adhere to their treatment recommendations related to fluid intake, diet, and medication (e.g., “How confident are you that you can limit your fluid intake”). For both questionnaires, participants were asked to rate on a 10-point Likert scale, ranging from “not at all confident” to “totally confident” </w:t>
      </w:r>
      <w:r w:rsidR="0079413F" w:rsidRPr="00577052">
        <w:rPr>
          <w:lang w:val="en-GB"/>
        </w:rPr>
        <w:fldChar w:fldCharType="begin" w:fldLock="1"/>
      </w:r>
      <w:r w:rsidR="00CC2D6A">
        <w:rPr>
          <w:lang w:val="en-GB"/>
        </w:rPr>
        <w:instrText>ADDIN CSL_CITATION {"citationItems":[{"id":"ITEM-1","itemData":{"DOI":"10.1016/j.jclinepi.2014.06.009","ISBN":"6507250422","ISSN":"18785921","PMID":"25091546","abstract":"Objectives Self-efficacy theory, as developed by Bandura, suggests that self-efficacy is an important predictor of future behavior. The Chronic Disease Self-Management Program was designed to enhance self-efficacy as one approach to improving health behaviors and outcomes for people with varying chronic diseases. The six-item Self-Efficacy to Manage Chronic Disease Scale (SEMCD) and the four-item Spanish-language version (SEMCD-S) were developed to measure changes in self-efficacy in program participants and have been used in a numerous evaluations of chronic disease self-management programs. This study describes the development of the scales and their psychometric properties. Study Design and Setting Secondary analyses of questionnaire data from 2,866 participants in six studies are used to quantify and evaluate the SEMCD. Data from 868 participants in two studies are used for the SEMCD-S. Subjects consisted of individuals with various chronic conditions, who enrolled in chronic disease self-management programs (either small group or Internet based). Subjects came from United States, England, Canada, Mexico, and Australia. Descriptive statistics are summarized, reliability tested (Cronbach alpha), and principal component analyses applied to items. Baseline and change scores are correlated with baseline and change scores for five medical outcome variables that have been shown to be associated with self-efficacy measures in past studies. Results: Principal component analyses confirmed the one-dimensional structure of the scales. The SEMCD had means ranging from 4.9 to 6.1 and the SEMCD-S 6.1 and 6.2. Internal consistency was high (Cronbach alpha, 0.88-0.95). The scales were sensitive to change and significantly correlated with health outcomes. Conclusion The SEMCD and SEMCD-S are reliable and appear to be valid instruments for assessing self-efficacy for managing chronic disease. There was remarkable consistency across a range of studies from varying countries using two languages.","author":[{"dropping-particle":"","family":"Ritter","given":"Philip L.","non-dropping-particle":"","parse-names":false,"suffix":""},{"dropping-particle":"","family":"Lorig","given":"Kate","non-dropping-particle":"","parse-names":false,"suffix":""}],"container-title":"Journal of Clinical Epidemiology","id":"ITEM-1","issued":{"date-parts":[["2014"]]},"page":"1265-1273","publisher":"Elsevier Inc","title":"The English and Spanish Self-Efficacy to Manage Chronic Disease Scale measures were validated using multiple studies","type":"article-journal","volume":"67"},"uris":["http://www.mendeley.com/documents/?uuid=1aaab75b-1594-44d1-84aa-b38d836678c9"]}],"mendeley":{"formattedCitation":"(Ritter &amp; Lorig, 2014)","plainTextFormattedCitation":"(Ritter &amp; Lorig, 2014)","previouslyFormattedCitation":"(Ritter &amp; Lorig, 2014)"},"properties":{"noteIndex":0},"schema":"https://github.com/citation-style-language/schema/raw/master/csl-citation.json"}</w:instrText>
      </w:r>
      <w:r w:rsidR="0079413F" w:rsidRPr="00577052">
        <w:rPr>
          <w:lang w:val="en-GB"/>
        </w:rPr>
        <w:fldChar w:fldCharType="separate"/>
      </w:r>
      <w:r w:rsidR="007D6381" w:rsidRPr="007D6381">
        <w:rPr>
          <w:noProof/>
          <w:lang w:val="en-GB"/>
        </w:rPr>
        <w:t>(Ritter &amp; Lorig, 2014)</w:t>
      </w:r>
      <w:r w:rsidR="0079413F" w:rsidRPr="00577052">
        <w:rPr>
          <w:lang w:val="en-GB"/>
        </w:rPr>
        <w:fldChar w:fldCharType="end"/>
      </w:r>
      <w:r w:rsidR="0079413F" w:rsidRPr="00577052">
        <w:rPr>
          <w:lang w:val="en-GB"/>
        </w:rPr>
        <w:t>. Higher total scores indicate higher disease or treatment self-efficacy</w:t>
      </w:r>
      <w:r w:rsidR="00190FBB" w:rsidRPr="00577052">
        <w:rPr>
          <w:lang w:val="en-GB"/>
        </w:rPr>
        <w:t>.</w:t>
      </w:r>
    </w:p>
    <w:p w14:paraId="2D3BC38B" w14:textId="3F3D706D" w:rsidR="00880A31" w:rsidRPr="00577052" w:rsidRDefault="00880A31" w:rsidP="00880A31">
      <w:pPr>
        <w:spacing w:line="480" w:lineRule="auto"/>
        <w:contextualSpacing/>
        <w:rPr>
          <w:lang w:val="en-GB"/>
        </w:rPr>
      </w:pPr>
      <w:r w:rsidRPr="00577052">
        <w:rPr>
          <w:b/>
          <w:bCs/>
          <w:lang w:val="en-GB"/>
        </w:rPr>
        <w:t>Self-management skills</w:t>
      </w:r>
      <w:r w:rsidRPr="00577052">
        <w:rPr>
          <w:lang w:val="en-GB"/>
        </w:rPr>
        <w:t>. Self-management skills were measured by the skills and technique acquisition, self-monitoring and insight, and health services navigation subscales of the Health Education Impact Questionnaire (</w:t>
      </w:r>
      <w:proofErr w:type="spellStart"/>
      <w:r w:rsidRPr="00577052">
        <w:rPr>
          <w:lang w:val="en-GB"/>
        </w:rPr>
        <w:t>heiQ</w:t>
      </w:r>
      <w:proofErr w:type="spellEnd"/>
      <w:r w:rsidRPr="00577052">
        <w:rPr>
          <w:lang w:val="en-GB"/>
        </w:rPr>
        <w:t xml:space="preserve">) </w:t>
      </w:r>
      <w:r w:rsidRPr="00577052">
        <w:rPr>
          <w:lang w:val="en-GB"/>
        </w:rPr>
        <w:fldChar w:fldCharType="begin" w:fldLock="1"/>
      </w:r>
      <w:r>
        <w:rPr>
          <w:lang w:val="en-GB"/>
        </w:rPr>
        <w:instrText>ADDIN CSL_CITATION {"citationItems":[{"id":"ITEM-1","itemData":{"DOI":"10.1016/j.pec.2006.12.002","ISSN":"07383991","PMID":"17320338","abstract":"Objective: This paper describes the development and validation of the Health Education Impact Questionnaire (heiQ). The aim was to develop a user-friendly, relevant, and psychometrically sound instrument for the comprehensive evaluation of patient education programs, which can be applied across a broad range of chronic conditions. Methods: Item development for the heiQ was guided by a Program Logic Model, Concept Mapping, interviews with stakeholders and psychometric analyses. Construction (N = 591) and confirmatory (N = 598) samples were drawn from consumers of patient education programs and hospital outpatients. The properties of the heiQ were investigated using item response theory and structural equation modeling. Results: Over 90 candidate items were generated, with 42 items selected for inclusion in the final scale. Eight independent dimensions were derived: Positive and Active Engagement in Life (five items, Cronbach's alpha (α) = 0.86); Health Directed Behavior (four items, α = 0.80); Skill and Technique Acquisition (five items, α = 0.81); Constructive Attitudes and Approaches (five items, α = 0.81); Self-Monitoring and Insight (seven items, α = 0.70); Health Service Navigation (five items, α = 0.82); Social Integration and Support (five items, α = 0.86); and Emotional Wellbeing (six items, α = 0.89). Conclusion: The heiQ has high construct validity and is a reliable measure of a broad range of patient education program benefits. Practice Implications: The heiQ will provide valuable information to clinicians, researchers, policymakers and other stakeholders about the value of patient education programs in chronic disease management. © 2007 Elsevier Ireland Ltd. All rights reserved.","author":[{"dropping-particle":"","family":"Osborne","given":"Richard H.","non-dropping-particle":"","parse-names":false,"suffix":""},{"dropping-particle":"","family":"Elsworth","given":"Gerald R.","non-dropping-particle":"","parse-names":false,"suffix":""},{"dropping-particle":"","family":"Whitfield","given":"Kathryn","non-dropping-particle":"","parse-names":false,"suffix":""}],"container-title":"Patient Education and Counseling","id":"ITEM-1","issued":{"date-parts":[["2007"]]},"page":"192-201","title":"The Health Education Impact Questionnaire (heiQ): An outcomes and evaluation measure for patient education and self-management interventions for people with chronic conditions","type":"article-journal","volume":"66"},"uris":["http://www.mendeley.com/documents/?uuid=42b6f33a-581f-4841-ae31-4d5bbdf46058"]}],"mendeley":{"formattedCitation":"(Osborne et al., 2007)","plainTextFormattedCitation":"(Osborne et al., 2007)","previouslyFormattedCitation":"(Osborne et al., 2007)"},"properties":{"noteIndex":0},"schema":"https://github.com/citation-style-language/schema/raw/master/csl-citation.json"}</w:instrText>
      </w:r>
      <w:r w:rsidRPr="00577052">
        <w:rPr>
          <w:lang w:val="en-GB"/>
        </w:rPr>
        <w:fldChar w:fldCharType="separate"/>
      </w:r>
      <w:r w:rsidRPr="007D6381">
        <w:rPr>
          <w:noProof/>
          <w:lang w:val="en-GB"/>
        </w:rPr>
        <w:t>(Osborne et al., 2007)</w:t>
      </w:r>
      <w:r w:rsidRPr="00577052">
        <w:rPr>
          <w:lang w:val="en-GB"/>
        </w:rPr>
        <w:fldChar w:fldCharType="end"/>
      </w:r>
      <w:r w:rsidRPr="00577052">
        <w:rPr>
          <w:lang w:val="en-GB"/>
        </w:rPr>
        <w:t xml:space="preserve">. The skills and technique acquisition subscale assesses knowledge-based skills and techniques that help patients manage symptoms or health problems (e.g., “When I have symptoms, I have the skills that help me cope”) </w:t>
      </w:r>
      <w:r w:rsidRPr="00577052">
        <w:rPr>
          <w:lang w:val="en-GB"/>
        </w:rPr>
        <w:fldChar w:fldCharType="begin" w:fldLock="1"/>
      </w:r>
      <w:r>
        <w:rPr>
          <w:lang w:val="en-GB"/>
        </w:rPr>
        <w:instrText>ADDIN CSL_CITATION {"citationItems":[{"id":"ITEM-1","itemData":{"DOI":"10.1016/j.pec.2006.12.002","ISSN":"07383991","PMID":"17320338","abstract":"Objective: This paper describes the development and validation of the Health Education Impact Questionnaire (heiQ). The aim was to develop a user-friendly, relevant, and psychometrically sound instrument for the comprehensive evaluation of patient education programs, which can be applied across a broad range of chronic conditions. Methods: Item development for the heiQ was guided by a Program Logic Model, Concept Mapping, interviews with stakeholders and psychometric analyses. Construction (N = 591) and confirmatory (N = 598) samples were drawn from consumers of patient education programs and hospital outpatients. The properties of the heiQ were investigated using item response theory and structural equation modeling. Results: Over 90 candidate items were generated, with 42 items selected for inclusion in the final scale. Eight independent dimensions were derived: Positive and Active Engagement in Life (five items, Cronbach's alpha (α) = 0.86); Health Directed Behavior (four items, α = 0.80); Skill and Technique Acquisition (five items, α = 0.81); Constructive Attitudes and Approaches (five items, α = 0.81); Self-Monitoring and Insight (seven items, α = 0.70); Health Service Navigation (five items, α = 0.82); Social Integration and Support (five items, α = 0.86); and Emotional Wellbeing (six items, α = 0.89). Conclusion: The heiQ has high construct validity and is a reliable measure of a broad range of patient education program benefits. Practice Implications: The heiQ will provide valuable information to clinicians, researchers, policymakers and other stakeholders about the value of patient education programs in chronic disease management. © 2007 Elsevier Ireland Ltd. All rights reserved.","author":[{"dropping-particle":"","family":"Osborne","given":"Richard H.","non-dropping-particle":"","parse-names":false,"suffix":""},{"dropping-particle":"","family":"Elsworth","given":"Gerald R.","non-dropping-particle":"","parse-names":false,"suffix":""},{"dropping-particle":"","family":"Whitfield","given":"Kathryn","non-dropping-particle":"","parse-names":false,"suffix":""}],"container-title":"Patient Education and Counseling","id":"ITEM-1","issued":{"date-parts":[["2007"]]},"page":"192-201","title":"The Health Education Impact Questionnaire (heiQ): An outcomes and evaluation measure for patient education and self-management interventions for people with chronic conditions","type":"article-journal","volume":"66"},"uris":["http://www.mendeley.com/documents/?uuid=42b6f33a-581f-4841-ae31-4d5bbdf46058"]}],"mendeley":{"formattedCitation":"(Osborne et al., 2007)","plainTextFormattedCitation":"(Osborne et al., 2007)","previouslyFormattedCitation":"(Osborne et al., 2007)"},"properties":{"noteIndex":0},"schema":"https://github.com/citation-style-language/schema/raw/master/csl-citation.json"}</w:instrText>
      </w:r>
      <w:r w:rsidRPr="00577052">
        <w:rPr>
          <w:lang w:val="en-GB"/>
        </w:rPr>
        <w:fldChar w:fldCharType="separate"/>
      </w:r>
      <w:r w:rsidRPr="007D6381">
        <w:rPr>
          <w:noProof/>
          <w:lang w:val="en-GB"/>
        </w:rPr>
        <w:t>(Osborne et al., 2007)</w:t>
      </w:r>
      <w:r w:rsidRPr="00577052">
        <w:rPr>
          <w:lang w:val="en-GB"/>
        </w:rPr>
        <w:fldChar w:fldCharType="end"/>
      </w:r>
      <w:r w:rsidRPr="00577052">
        <w:rPr>
          <w:lang w:val="en-GB"/>
        </w:rPr>
        <w:t xml:space="preserve">. The self-monitoring and insight subscale assesses patients’ ability to monitor their health condition (e.g., “I carefully watch my health and do what is necessary to keep as healthy as possible”) </w:t>
      </w:r>
      <w:r w:rsidRPr="00577052">
        <w:rPr>
          <w:lang w:val="en-GB"/>
        </w:rPr>
        <w:fldChar w:fldCharType="begin" w:fldLock="1"/>
      </w:r>
      <w:r>
        <w:rPr>
          <w:lang w:val="en-GB"/>
        </w:rPr>
        <w:instrText>ADDIN CSL_CITATION {"citationItems":[{"id":"ITEM-1","itemData":{"DOI":"10.1016/j.pec.2006.12.002","ISSN":"07383991","PMID":"17320338","abstract":"Objective: This paper describes the development and validation of the Health Education Impact Questionnaire (heiQ). The aim was to develop a user-friendly, relevant, and psychometrically sound instrument for the comprehensive evaluation of patient education programs, which can be applied across a broad range of chronic conditions. Methods: Item development for the heiQ was guided by a Program Logic Model, Concept Mapping, interviews with stakeholders and psychometric analyses. Construction (N = 591) and confirmatory (N = 598) samples were drawn from consumers of patient education programs and hospital outpatients. The properties of the heiQ were investigated using item response theory and structural equation modeling. Results: Over 90 candidate items were generated, with 42 items selected for inclusion in the final scale. Eight independent dimensions were derived: Positive and Active Engagement in Life (five items, Cronbach's alpha (α) = 0.86); Health Directed Behavior (four items, α = 0.80); Skill and Technique Acquisition (five items, α = 0.81); Constructive Attitudes and Approaches (five items, α = 0.81); Self-Monitoring and Insight (seven items, α = 0.70); Health Service Navigation (five items, α = 0.82); Social Integration and Support (five items, α = 0.86); and Emotional Wellbeing (six items, α = 0.89). Conclusion: The heiQ has high construct validity and is a reliable measure of a broad range of patient education program benefits. Practice Implications: The heiQ will provide valuable information to clinicians, researchers, policymakers and other stakeholders about the value of patient education programs in chronic disease management. © 2007 Elsevier Ireland Ltd. All rights reserved.","author":[{"dropping-particle":"","family":"Osborne","given":"Richard H.","non-dropping-particle":"","parse-names":false,"suffix":""},{"dropping-particle":"","family":"Elsworth","given":"Gerald R.","non-dropping-particle":"","parse-names":false,"suffix":""},{"dropping-particle":"","family":"Whitfield","given":"Kathryn","non-dropping-particle":"","parse-names":false,"suffix":""}],"container-title":"Patient Education and Counseling","id":"ITEM-1","issued":{"date-parts":[["2007"]]},"page":"192-201","title":"The Health Education Impact Questionnaire (heiQ): An outcomes and evaluation measure for patient education and self-management interventions for people with chronic conditions","type":"article-journal","volume":"66"},"uris":["http://www.mendeley.com/documents/?uuid=42b6f33a-581f-4841-ae31-4d5bbdf46058"]}],"mendeley":{"formattedCitation":"(Osborne et al., 2007)","plainTextFormattedCitation":"(Osborne et al., 2007)","previouslyFormattedCitation":"(Osborne et al., 2007)"},"properties":{"noteIndex":0},"schema":"https://github.com/citation-style-language/schema/raw/master/csl-citation.json"}</w:instrText>
      </w:r>
      <w:r w:rsidRPr="00577052">
        <w:rPr>
          <w:lang w:val="en-GB"/>
        </w:rPr>
        <w:fldChar w:fldCharType="separate"/>
      </w:r>
      <w:r w:rsidRPr="007D6381">
        <w:rPr>
          <w:noProof/>
          <w:lang w:val="en-GB"/>
        </w:rPr>
        <w:t>(Osborne et al., 2007)</w:t>
      </w:r>
      <w:r w:rsidRPr="00577052">
        <w:rPr>
          <w:lang w:val="en-GB"/>
        </w:rPr>
        <w:fldChar w:fldCharType="end"/>
      </w:r>
      <w:r w:rsidRPr="00577052">
        <w:rPr>
          <w:lang w:val="en-GB"/>
        </w:rPr>
        <w:t xml:space="preserve">. The health services navigation subscale measures patients’ ability to communicate and negotiate with healthcare providers to get their needs met (e.g., “I communicate very confidently with my doctor about my healthcare needs”) </w:t>
      </w:r>
      <w:r w:rsidRPr="00577052">
        <w:rPr>
          <w:lang w:val="en-GB"/>
        </w:rPr>
        <w:fldChar w:fldCharType="begin" w:fldLock="1"/>
      </w:r>
      <w:r>
        <w:rPr>
          <w:lang w:val="en-GB"/>
        </w:rPr>
        <w:instrText>ADDIN CSL_CITATION {"citationItems":[{"id":"ITEM-1","itemData":{"DOI":"10.1016/j.pec.2006.12.002","ISSN":"07383991","PMID":"17320338","abstract":"Objective: This paper describes the development and validation of the Health Education Impact Questionnaire (heiQ). The aim was to develop a user-friendly, relevant, and psychometrically sound instrument for the comprehensive evaluation of patient education programs, which can be applied across a broad range of chronic conditions. Methods: Item development for the heiQ was guided by a Program Logic Model, Concept Mapping, interviews with stakeholders and psychometric analyses. Construction (N = 591) and confirmatory (N = 598) samples were drawn from consumers of patient education programs and hospital outpatients. The properties of the heiQ were investigated using item response theory and structural equation modeling. Results: Over 90 candidate items were generated, with 42 items selected for inclusion in the final scale. Eight independent dimensions were derived: Positive and Active Engagement in Life (five items, Cronbach's alpha (α) = 0.86); Health Directed Behavior (four items, α = 0.80); Skill and Technique Acquisition (five items, α = 0.81); Constructive Attitudes and Approaches (five items, α = 0.81); Self-Monitoring and Insight (seven items, α = 0.70); Health Service Navigation (five items, α = 0.82); Social Integration and Support (five items, α = 0.86); and Emotional Wellbeing (six items, α = 0.89). Conclusion: The heiQ has high construct validity and is a reliable measure of a broad range of patient education program benefits. Practice Implications: The heiQ will provide valuable information to clinicians, researchers, policymakers and other stakeholders about the value of patient education programs in chronic disease management. © 2007 Elsevier Ireland Ltd. All rights reserved.","author":[{"dropping-particle":"","family":"Osborne","given":"Richard H.","non-dropping-particle":"","parse-names":false,"suffix":""},{"dropping-particle":"","family":"Elsworth","given":"Gerald R.","non-dropping-particle":"","parse-names":false,"suffix":""},{"dropping-particle":"","family":"Whitfield","given":"Kathryn","non-dropping-particle":"","parse-names":false,"suffix":""}],"container-title":"Patient Education and Counseling","id":"ITEM-1","issued":{"date-parts":[["2007"]]},"page":"192-201","title":"The Health Education Impact Questionnaire (heiQ): An outcomes and evaluation measure for patient education and self-management interventions for people with chronic conditions","type":"article-journal","volume":"66"},"uris":["http://www.mendeley.com/documents/?uuid=42b6f33a-581f-4841-ae31-4d5bbdf46058"]}],"mendeley":{"formattedCitation":"(Osborne et al., 2007)","plainTextFormattedCitation":"(Osborne et al., 2007)","previouslyFormattedCitation":"(Osborne et al., 2007)"},"properties":{"noteIndex":0},"schema":"https://github.com/citation-style-language/schema/raw/master/csl-citation.json"}</w:instrText>
      </w:r>
      <w:r w:rsidRPr="00577052">
        <w:rPr>
          <w:lang w:val="en-GB"/>
        </w:rPr>
        <w:fldChar w:fldCharType="separate"/>
      </w:r>
      <w:r w:rsidRPr="007D6381">
        <w:rPr>
          <w:noProof/>
          <w:lang w:val="en-GB"/>
        </w:rPr>
        <w:t>(Osborne et al., 2007)</w:t>
      </w:r>
      <w:r w:rsidRPr="00577052">
        <w:rPr>
          <w:lang w:val="en-GB"/>
        </w:rPr>
        <w:fldChar w:fldCharType="end"/>
      </w:r>
      <w:r w:rsidRPr="00577052">
        <w:rPr>
          <w:lang w:val="en-GB"/>
        </w:rPr>
        <w:t>. Higher scores indicate better self-management skills in these domains</w:t>
      </w:r>
      <w:r w:rsidR="00F67F75">
        <w:rPr>
          <w:lang w:val="en-GB"/>
        </w:rPr>
        <w:t>.</w:t>
      </w:r>
    </w:p>
    <w:p w14:paraId="11AF7CCB" w14:textId="172692BA" w:rsidR="00341E16" w:rsidRPr="00577052" w:rsidRDefault="004E1335" w:rsidP="00577052">
      <w:pPr>
        <w:spacing w:line="480" w:lineRule="auto"/>
        <w:contextualSpacing/>
        <w:rPr>
          <w:lang w:val="en-GB"/>
        </w:rPr>
      </w:pPr>
      <w:r w:rsidRPr="00577052">
        <w:rPr>
          <w:b/>
          <w:bCs/>
          <w:lang w:val="en-GB"/>
        </w:rPr>
        <w:t xml:space="preserve">Treatment </w:t>
      </w:r>
      <w:r w:rsidR="008F16AD" w:rsidRPr="00577052">
        <w:rPr>
          <w:b/>
          <w:bCs/>
          <w:lang w:val="en-GB"/>
        </w:rPr>
        <w:t>adherence.</w:t>
      </w:r>
      <w:r w:rsidR="00530CA5" w:rsidRPr="00577052">
        <w:rPr>
          <w:lang w:val="en-GB"/>
        </w:rPr>
        <w:t xml:space="preserve"> </w:t>
      </w:r>
      <w:r w:rsidR="00341E16" w:rsidRPr="00577052">
        <w:rPr>
          <w:lang w:val="en-GB"/>
        </w:rPr>
        <w:t xml:space="preserve">Medication adherence was assessed with the Medication Adherence Report Scale (MARS-5 ©Professor Rob Horne) </w:t>
      </w:r>
      <w:r w:rsidR="00341E16" w:rsidRPr="00577052">
        <w:rPr>
          <w:lang w:val="en-GB"/>
        </w:rPr>
        <w:fldChar w:fldCharType="begin" w:fldLock="1"/>
      </w:r>
      <w:r w:rsidR="00CC2D6A">
        <w:rPr>
          <w:lang w:val="en-GB"/>
        </w:rPr>
        <w:instrText>ADDIN CSL_CITATION {"citationItems":[{"id":"ITEM-1","itemData":{"DOI":"10.1080/08870440290001502","ISSN":"08870446","abstract":"The present study was designed to evaluate the degree to which variations in reported adherence to preventer medication for asthma could be explained by two sets of beliefs: perceptions of asthma and perceptions of asthma medication (beliefs about its necessity and concerns over its use). It also begins the empirical testing of an extended self-regulatory model, which includes treatment beliefs as well as illness perceptions. Using a cross-sectional design, 100 community-based patients completed validated questionnaires assessing their perceptions of asthma, beliefs about preventer inhalers and reported adherence to them. The findings showed that non-adherent behaviours were associated with doubts about the necessity of medication and concerns about its potential adverse effects and with more negative perceived consequences of illness. A hierarchical linear regression analysis revealed that socio-demographic and clinical factors explained only a small amount of variance in adherence whereas illness perceptions and treatment beliefs were both more substantial independent predictors. The best fit Amos analysis showed that illness perceptions influenced adherence both directly and indirectly via treatment beliefs, which, in turn, were the strongest predictors. The findings lend preliminary support for an extended self-regulatory model of treatment adherence, which incorporates beliefs about treatment as welt as illness perceptions.","author":[{"dropping-particle":"","family":"Horne","given":"Robert","non-dropping-particle":"","parse-names":false,"suffix":""},{"dropping-particle":"","family":"Weinman","given":"John","non-dropping-particle":"","parse-names":false,"suffix":""}],"container-title":"Psychology and Health","id":"ITEM-1","issue":"1","issued":{"date-parts":[["2002"]]},"page":"17-32","title":"Self-regulation and self-management in asthma: Exploring the role of illness perceptions and treatment beliefs in explaining non-adherence to preventer medication","type":"article-journal","volume":"17"},"uris":["http://www.mendeley.com/documents/?uuid=d937fc58-72bf-41ee-be80-647364a03f82"]},{"id":"ITEM-2","itemData":{"DOI":"10.1111/bcp.14193","ISSN":"13652125","PMID":"31823381","abstract":"Aims: This study aimed to establish the psychometric properties of a questionnaire measure of patients' adherence to medications to elicit patients' report of medication use in a variety of clinical samples. The reliability and validity were assessed in patients with hypertension. Additional analyses were performed on other patient groups. Methods: Using a cross-sectional study design, a 10-item version of the Medication Adherence Report Scale (©Professor Rob Horne) was piloted in two samples of patients receiving treatment for hypertension (n = 50 + 178), asthma (n = 100) or diabetes (n = 100) at hospital outpatient or community clinics in London and the south-east of England. Following principal components analysis, five items were retained to form MARS-5 (©Professor Rob Horne). Evaluation comprised internal reliability, test-retest reliability, criterion-related validity (relationship with blood pressure control) and construct validity (relationship with patients' beliefs about medicines). Results: The MARS-5 demonstrated acceptable reliability (internal and test-retest) and validity (criterion-related and construct validity) in these patient groups. Internal reliability (Cronbach's α) ranged from 0.67 to 0.89 across all patient groups; test-retest reliability (Pearson's r) was 0.97 in hypertension. Criterion-related validity was established with more adherent hypertension patients showing better blood-pressure control (χ2 = 4.24, df = 1, P &lt;.05). Construct validity with beliefs about medicines was demonstrated with higher adherence associated with stronger beliefs in treatment necessity and lower treatment concerns. Conclusions: The MARS-5 performed well on several psychometric indicators in this study. It shows promise as an effective self-report tool for measuring patients' reports of their medication use across a range of health conditions.","author":[{"dropping-particle":"","family":"Chan","given":"Amy Hai Yan","non-dropping-particle":"","parse-names":false,"suffix":""},{"dropping-particle":"","family":"Horne","given":"Rob","non-dropping-particle":"","parse-names":false,"suffix":""},{"dropping-particle":"","family":"Hankins","given":"Matthew","non-dropping-particle":"","parse-names":false,"suffix":""},{"dropping-particle":"","family":"Chisari","given":"Claudia","non-dropping-particle":"","parse-names":false,"suffix":""}],"container-title":"British Journal of Clinical Pharmacology","id":"ITEM-2","issued":{"date-parts":[["2020"]]},"page":"1281-1288","title":"The Medication Adherence Report Scale: A measurement tool for eliciting patients' reports of nonadherence","type":"article-journal","volume":"86"},"uris":["http://www.mendeley.com/documents/?uuid=f74e23c4-0b8b-4ee7-82af-48faa2d62747"]},{"id":"ITEM-3","itemData":{"DOI":"10.1136/bmjopen-2017-017293","ISSN":"20446055","PMID":"28982826","abstract":"Objectives To investigate beliefs about medicines and their association with medicine adherence in patients with chronic diseases in China. Design A cross-sectional questionnaire-based study Setting Two large urban hospitals in Hefei and Tianjin, China Participants Hospital inpatients (313 stroke patients) and outpatients (315 diabetic patients and 339 rheumatoid arthritis (RA) patients) were recruited between January 2014 and September 2014. Outcome measures The Beliefs about Medicines Questionnaire (BMQ), assessing patients' beliefs about the specific medicine (Specific-Necessity and Specific-Concerns) prescribed for their conditions (stroke/diabetes/RA) and more general background beliefs about pharmaceuticals as a class of treatment (BMQ-General Benefit, Harm and Overuse); the Perceived Sensitivity to Medicines scale (PSM) assessed patients' beliefs about how sensitive they were to the effects of medicines and the Medication Adherence Report Scale. The association between non-adherence and beliefs about medicines was assessed using a logistic regression model. Results Patients with diabetes mellitus had a stronger perceived need for treatment (mean (SD) Specific-Necessity score, 3.75 (0.40)) than patients with stroke (3.69 (0.53)) and RA (3.66 (0.44)) (p=0.049). Moderate correlations were observed between Specific-Concerns and General-Overuse, General-Harm and PSM (Pearson correlation coefficients, 0.39, 0.49 and 0.49, respectively, p&lt;0.01). Three hundred and eleven patients were non-adherent to their medicine (159 (51.0%) in the stroke group, 60 (26.7%) in the diabetes mellitus group and 62 (19.8%) in the RA group, p&lt;0.01). Across the whole sample, after adjusting for demographic characteristics, non-adherence was associated with patients who had higher concerns about their medicines (OR, 1.35, 95% CI 1.07 to 1.71) and patients who believed that they were personally sensitive to the effects of medications (OR 1.44, 95% CI 1.16 to 1.85). Conclusion The BMQ is a useful tool to identify patients at risk of non-adherence. In the future, adherence intervention studies may use the BMQ to screen for patients who are at risk of non-adherence and to map interventional support.","author":[{"dropping-particle":"","family":"Wei","given":"Li","non-dropping-particle":"","parse-names":false,"suffix":""},{"dropping-particle":"","family":"Champman","given":"Sarah","non-dropping-particle":"","parse-names":false,"suffix":""},{"dropping-particle":"","family":"Li","given":"Xiaomei","non-dropping-particle":"","parse-names":false,"suffix":""},{"dropping-particle":"","family":"Li","given":"Xin","non-dropping-particle":"","parse-names":false,"suffix":""},{"dropping-particle":"","family":"Li","given":"Sumei","non-dropping-particle":"","parse-names":false,"suffix":""},{"dropping-particle":"","family":"Chen","given":"Ruoling","non-dropping-particle":"","parse-names":false,"suffix":""},{"dropping-particle":"","family":"Bo","given":"Nie","non-dropping-particle":"","parse-names":false,"suffix":""},{"dropping-particle":"","family":"Chater","given":"Angel","non-dropping-particle":"","parse-names":false,"suffix":""},{"dropping-particle":"","family":"Horne","given":"Robert","non-dropping-particle":"","parse-names":false,"suffix":""}],"container-title":"BMJ Open","id":"ITEM-3","issued":{"date-parts":[["2017"]]},"page":"e017293","title":"Beliefs about medicines and non-adherence in patients with stroke, diabetes mellitus and rheumatoid arthritis: a cross-sectional study in China","type":"article-journal","volume":"7"},"uris":["http://www.mendeley.com/documents/?uuid=d6dee7f4-d727-4e64-bfd5-b77f17b4fb3a"]}],"mendeley":{"formattedCitation":"(Chan et al., 2020; Horne &amp; Weinman, 2002; Wei et al., 2017)","plainTextFormattedCitation":"(Chan et al., 2020; Horne &amp; Weinman, 2002; Wei et al., 2017)","previouslyFormattedCitation":"(Chan et al., 2020; Horne &amp; Weinman, 2002; Wei et al., 2017)"},"properties":{"noteIndex":0},"schema":"https://github.com/citation-style-language/schema/raw/master/csl-citation.json"}</w:instrText>
      </w:r>
      <w:r w:rsidR="00341E16" w:rsidRPr="00577052">
        <w:rPr>
          <w:lang w:val="en-GB"/>
        </w:rPr>
        <w:fldChar w:fldCharType="separate"/>
      </w:r>
      <w:r w:rsidR="007D6381" w:rsidRPr="007D6381">
        <w:rPr>
          <w:noProof/>
          <w:lang w:val="en-GB"/>
        </w:rPr>
        <w:t>(Chan et al., 2020; Horne &amp; Weinman, 2002; Wei et al., 2017)</w:t>
      </w:r>
      <w:r w:rsidR="00341E16" w:rsidRPr="00577052">
        <w:rPr>
          <w:lang w:val="en-GB"/>
        </w:rPr>
        <w:fldChar w:fldCharType="end"/>
      </w:r>
      <w:r w:rsidR="00341E16" w:rsidRPr="00577052">
        <w:rPr>
          <w:lang w:val="en-GB"/>
        </w:rPr>
        <w:t xml:space="preserve"> that includes 5 items (e.g., “I alter the dose”) rated on a five-point Likert scale ranging from “never” to “always</w:t>
      </w:r>
      <w:r w:rsidR="00F67F75">
        <w:rPr>
          <w:lang w:val="en-GB"/>
        </w:rPr>
        <w:t>”</w:t>
      </w:r>
      <w:r w:rsidR="00341E16" w:rsidRPr="00577052">
        <w:rPr>
          <w:lang w:val="en-GB"/>
        </w:rPr>
        <w:t xml:space="preserve">. Higher total scores signify higher medication </w:t>
      </w:r>
      <w:r w:rsidR="00341E16" w:rsidRPr="00577052">
        <w:rPr>
          <w:lang w:val="en-GB"/>
        </w:rPr>
        <w:lastRenderedPageBreak/>
        <w:t xml:space="preserve">adherence. To measure adherence with regards to the other treatment aspects, we used the 25-item Renal Adherence Behaviour Questionnaire (RABQ) </w:t>
      </w:r>
      <w:r w:rsidR="00341E16" w:rsidRPr="00577052">
        <w:rPr>
          <w:lang w:val="en-GB"/>
        </w:rPr>
        <w:fldChar w:fldCharType="begin" w:fldLock="1"/>
      </w:r>
      <w:r w:rsidR="00CC2D6A">
        <w:rPr>
          <w:lang w:val="en-GB"/>
        </w:rPr>
        <w:instrText>ADDIN CSL_CITATION {"citationItems":[{"id":"ITEM-1","itemData":{"DOI":"10.1016/S0022-3999(97)00228-6","ISSN":"00223999","abstract":"This article describes preliminary investigations into the psychometric properties of two scales for hemodialysis patients (N = 35): the Renal Adherence Attitudes Questionnaire (RAAQ), a 26-item scale measuring attitudes toward adherence; and the Renal Adherence Behaviour Questionnaire (RABQ), a 25-item scale measuring self-reported dietary (diet and fluid) adherence. Factor analysis of the RAAQ yielded a four-factor structure. These factors were attitudes to social restrictions, well-being, self-care/support, and acceptance. The scale demonstrated high internal and test-retest reliability. Factor analysis of the RABQ gave a five-factor structure: adherence to fluid restrictions; adherence regarding potassium and phosphate restrictions, adherence regarding self-care; adherence regarding sodium intake; and adherence in times of particular difficulty. This scale had moderately high internal reliability and high test-retest reliability. Validity for the RABQ was tested with independent measures of adherence; biochemical (serum potassium, serum phosphate, and interdialytic weight gain) and dietician-rated (potassium and fluid). There was little association among the differing measures of adherence. These scales facilitate empirical evaluation of dietary adherence for hemodialysis patients.","author":[{"dropping-particle":"","family":"Rushe","given":"Helena","non-dropping-particle":"","parse-names":false,"suffix":""},{"dropping-particle":"","family":"Mcgee","given":"Hannah M.","non-dropping-particle":"","parse-names":false,"suffix":""}],"container-title":"Journal of Psychosomatic Research","id":"ITEM-1","issue":"2","issued":{"date-parts":[["1998"]]},"page":"149-157","title":"Assessing adherence to dietary recommendations for hemodialysis patients: The Renal Adherence Attitudes Questionnaire (RAAQ) and the Renal Adherence Behaviour Questionnaire (RABQ)","type":"article-journal","volume":"45"},"uris":["http://www.mendeley.com/documents/?uuid=bbe369ee-2b3e-4370-a90f-b2205357912d"]}],"mendeley":{"formattedCitation":"(Rushe &amp; Mcgee, 1998)","plainTextFormattedCitation":"(Rushe &amp; Mcgee, 1998)","previouslyFormattedCitation":"(Rushe &amp; Mcgee, 1998)"},"properties":{"noteIndex":0},"schema":"https://github.com/citation-style-language/schema/raw/master/csl-citation.json"}</w:instrText>
      </w:r>
      <w:r w:rsidR="00341E16" w:rsidRPr="00577052">
        <w:rPr>
          <w:lang w:val="en-GB"/>
        </w:rPr>
        <w:fldChar w:fldCharType="separate"/>
      </w:r>
      <w:r w:rsidR="007D6381" w:rsidRPr="007D6381">
        <w:rPr>
          <w:noProof/>
          <w:lang w:val="en-GB"/>
        </w:rPr>
        <w:t>(Rushe &amp; Mcgee, 1998)</w:t>
      </w:r>
      <w:r w:rsidR="00341E16" w:rsidRPr="00577052">
        <w:rPr>
          <w:lang w:val="en-GB"/>
        </w:rPr>
        <w:fldChar w:fldCharType="end"/>
      </w:r>
      <w:r w:rsidR="00341E16" w:rsidRPr="00577052">
        <w:rPr>
          <w:lang w:val="en-GB"/>
        </w:rPr>
        <w:t xml:space="preserve"> that comprises 5 subscales: fluid restrictions, potassium and phosphate intake, sodium intake, adherence in times of particular difficulty, and self-care, all rated on a five-point scale ranging from “never” to “always”. Higher subscale and total scores indicate higher adherence</w:t>
      </w:r>
      <w:r w:rsidR="001E0613" w:rsidRPr="00577052">
        <w:rPr>
          <w:lang w:val="en-GB"/>
        </w:rPr>
        <w:t>.</w:t>
      </w:r>
    </w:p>
    <w:p w14:paraId="15694043" w14:textId="10BBA073" w:rsidR="00227B0F" w:rsidRPr="00577052" w:rsidRDefault="00272846" w:rsidP="00577052">
      <w:pPr>
        <w:spacing w:line="480" w:lineRule="auto"/>
        <w:contextualSpacing/>
        <w:rPr>
          <w:lang w:val="en-GB"/>
        </w:rPr>
      </w:pPr>
      <w:r w:rsidRPr="00577052">
        <w:rPr>
          <w:b/>
          <w:bCs/>
          <w:lang w:val="en-GB"/>
        </w:rPr>
        <w:t>Mood symptoms.</w:t>
      </w:r>
      <w:r w:rsidR="00906150" w:rsidRPr="00577052">
        <w:rPr>
          <w:lang w:val="en-GB"/>
        </w:rPr>
        <w:t xml:space="preserve"> </w:t>
      </w:r>
      <w:r w:rsidR="00227B0F" w:rsidRPr="00577052">
        <w:rPr>
          <w:lang w:val="en-GB"/>
        </w:rPr>
        <w:t xml:space="preserve">Given the consistently documented associations between SCCs and mood </w:t>
      </w:r>
      <w:r w:rsidR="00227B0F" w:rsidRPr="00577052">
        <w:rPr>
          <w:lang w:val="en-GB"/>
        </w:rPr>
        <w:fldChar w:fldCharType="begin" w:fldLock="1"/>
      </w:r>
      <w:r w:rsidR="00CC2D6A">
        <w:rPr>
          <w:lang w:val="en-GB"/>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Disease","type":"article-journal","volume":"13"},"uris":["http://www.mendeley.com/documents/?uuid=7dcbe897-3cdc-4e87-9d81-1eb7c8d16362"]},{"id":"ITEM-2","itemData":{"DOI":"10.1016/j.jalz.2016.09.012","ISSN":"15525279","PMID":"27825022","abstract":"Introduction Subjective cognitive decline (SCD) manifesting before clinical impairment could serve as a target population for early intervention trials in Alzheimer's disease (AD). A working group, the Subjective Cognitive Decline Initiative (SCD-I), published SCD research criteria in the context of preclinical AD. To successfully apply them, a number of issues regarding assessment and implementation of SCD needed to be addressed. Methods Members of the SCD-I met to identify and agree on topics relevant to SCD criteria operationalization in research settings. Initial ideas and recommendations were discussed with other SCD-I working group members and modified accordingly. Results Topics included SCD inclusion and exclusion criteria, together with the informant's role in defining SCD presence and the impact of demographic factors. Discussion Recommendations for the operationalization of SCD in differing research settings, with the aim of harmonization of SCD measurement across studies are proposed, to enhance comparability and generalizability across studies.","author":[{"dropping-particle":"","family":"Molinuevo","given":"José L.","non-dropping-particle":"","parse-names":false,"suffix":""},{"dropping-particle":"","family":"Rabin","given":"Laura A.","non-dropping-particle":"","parse-names":false,"suffix":""},{"dropping-particle":"","family":"Amariglio","given":"Rebecca","non-dropping-particle":"","parse-names":false,"suffix":""},{"dropping-particle":"","family":"Buckley","given":"Rachel","non-dropping-particle":"","parse-names":false,"suffix":""},{"dropping-particle":"","family":"Dubois","given":"Bruno","non-dropping-particle":"","parse-names":false,"suffix":""},{"dropping-particle":"","family":"Ellis","given":"Kathryn A.","non-dropping-particle":"","parse-names":false,"suffix":""},{"dropping-particle":"","family":"Ewers","given":"Michael","non-dropping-particle":"","parse-names":false,"suffix":""},{"dropping-particle":"","family":"Hampel","given":"Harald","non-dropping-particle":"","parse-names":false,"suffix":""},{"dropping-particle":"","family":"Klöppel","given":"Stefan","non-dropping-particle":"","parse-names":false,"suffix":""},{"dropping-particle":"","family":"Rami","given":"Lorena","non-dropping-particle":"","parse-names":false,"suffix":""},{"dropping-particle":"","family":"Reisberg","given":"Barry","non-dropping-particle":"","parse-names":false,"suffix":""},{"dropping-particle":"","family":"Saykin","given":"Andrew J.","non-dropping-particle":"","parse-names":false,"suffix":""},{"dropping-particle":"","family":"Sikkes","given":"Sietske","non-dropping-particle":"","parse-names":false,"suffix":""},{"dropping-particle":"","family":"Smart","given":"Colette M.","non-dropping-particle":"","parse-names":false,"suffix":""},{"dropping-particle":"","family":"Snitz","given":"Beth E.","non-dropping-particle":"","parse-names":false,"suffix":""},{"dropping-particle":"","family":"Sperling","given":"Reisa","non-dropping-particle":"","parse-names":false,"suffix":""},{"dropping-particle":"","family":"Flier","given":"Wiesje M.","non-dropping-particle":"van der","parse-names":false,"suffix":""},{"dropping-particle":"","family":"Wagner","given":"Michael","non-dropping-particle":"","parse-names":false,"suffix":""},{"dropping-particle":"","family":"Jessen","given":"Frank","non-dropping-particle":"","parse-names":false,"suffix":""}],"container-title":"Alzheimer's and Dementia","id":"ITEM-2","issue":"3","issued":{"date-parts":[["2017"]]},"page":"296-311","title":"Implementation of subjective cognitive decline criteria in research studies","type":"article-journal","volume":"13"},"uris":["http://www.mendeley.com/documents/?uuid=45fca05d-b9c1-447b-997a-e4125282fa2e"]},{"id":"ITEM-3","itemData":{"DOI":"10.1016/j.jalz.2014.01.001","ISSN":"15525279","PMID":"24798886","abstract":"There is increasing evidence that subjective cognitive decline (SCD) in individuals with unimpaired performance on cognitive tests may represent the first symptomatic manifestation of Alzheimer's disease (AD). The research on SCD in early AD, however, is limited by the absence of common standards. The working group of the Subjective Cognitive Decline Initiative (SCD-I) addressed this deficiency by reaching consensus on terminology and on a conceptual framework for research on SCD in AD. In this publication, research criteria for SCD in pre-mild cognitive impairment (MCI) are presented. In addition, a list of core features proposed for reporting in SCD studies is provided, which will enable comparability of research across different settings. Finally, a set of features is presented, which in accordance with current knowledge, increases the likelihood of the presence of preclinical AD in individuals with SCD. This list is referred to as SCD plus.","author":[{"dropping-particle":"","family":"Jessen","given":"Frank","non-dropping-particle":"","parse-names":false,"suffix":""},{"dropping-particle":"","family":"Amariglio","given":"Rebecca E.","non-dropping-particle":"","parse-names":false,"suffix":""},{"dropping-particle":"","family":"Boxtel","given":"Martin","non-dropping-particle":"Van","parse-names":false,"suffix":""},{"dropping-particle":"","family":"Breteler","given":"Monique","non-dropping-particle":"","parse-names":false,"suffix":""},{"dropping-particle":"","family":"Ceccaldi","given":"Mathieu","non-dropping-particle":"","parse-names":false,"suffix":""},{"dropping-particle":"","family":"Chételat","given":"Gaël","non-dropping-particle":"","parse-names":false,"suffix":""},{"dropping-particle":"","family":"Dubois","given":"Bruno","non-dropping-particle":"","parse-names":false,"suffix":""},{"dropping-particle":"","family":"Dufouil","given":"Carole","non-dropping-particle":"","parse-names":false,"suffix":""},{"dropping-particle":"","family":"Ellis","given":"Kathryn A.","non-dropping-particle":"","parse-names":false,"suffix":""},{"dropping-particle":"","family":"Flier","given":"Wiesje M.","non-dropping-particle":"Van Der","parse-names":false,"suffix":""},{"dropping-particle":"","family":"Glodzik","given":"Lidia","non-dropping-particle":"","parse-names":false,"suffix":""},{"dropping-particle":"","family":"Harten","given":"Argonde C.","non-dropping-particle":"Van","parse-names":false,"suffix":""},{"dropping-particle":"","family":"Leon","given":"Mony J.","non-dropping-particle":"De","parse-names":false,"suffix":""},{"dropping-particle":"","family":"McHugh","given":"Pauline","non-dropping-particle":"","parse-names":false,"suffix":""},{"dropping-particle":"","family":"Mielke","given":"Michelle M.","non-dropping-particle":"","parse-names":false,"suffix":""},{"dropping-particle":"","family":"Molinuevo","given":"Jose Luis","non-dropping-particle":"","parse-names":false,"suffix":""},{"dropping-particle":"","family":"Mosconi","given":"Lisa","non-dropping-particle":"","parse-names":false,"suffix":""},{"dropping-particle":"","family":"Osorio","given":"Ricardo S.","non-dropping-particle":"","parse-names":false,"suffix":""},{"dropping-particle":"","family":"Perrotin","given":"Audrey","non-dropping-particle":"","parse-names":false,"suffix":""},{"dropping-particle":"","family":"Petersen","given":"Ronald C.","non-dropping-particle":"","parse-names":false,"suffix":""},{"dropping-particle":"","family":"Rabin","given":"Laura A.","non-dropping-particle":"","parse-names":false,"suffix":""},{"dropping-particle":"","family":"Rami","given":"Lorena","non-dropping-particle":"","parse-names":false,"suffix":""},{"dropping-particle":"","family":"Reisberg","given":"Barry","non-dropping-particle":"","parse-names":false,"suffix":""},{"dropping-particle":"","family":"Rentz","given":"Dorene M.","non-dropping-particle":"","parse-names":false,"suffix":""},{"dropping-particle":"","family":"Sachdev","given":"Perminder S.","non-dropping-particle":"","parse-names":false,"suffix":""},{"dropping-particle":"","family":"La Sayette","given":"Vincent","non-dropping-particle":"De","parse-names":false,"suffix":""},{"dropping-particle":"","family":"Saykin","given":"Andrew J.","non-dropping-particle":"","parse-names":false,"suffix":""},{"dropping-particle":"","family":"Scheltens","given":"Philip","non-dropping-particle":"","parse-names":false,"suffix":""},{"dropping-particle":"","family":"Shulman","given":"Melanie B.","non-dropping-particle":"","parse-names":false,"suffix":""},{"dropping-particle":"","family":"Slavin","given":"Melissa J.","non-dropping-particle":"","parse-names":false,"suffix":""},{"dropping-particle":"","family":"Sperling","given":"Reisa A.","non-dropping-particle":"","parse-names":false,"suffix":""},{"dropping-particle":"","family":"Stewart","given":"Robert","non-dropping-particle":"","parse-names":false,"suffix":""},{"dropping-particle":"","family":"Uspenskaya","given":"Olga","non-dropping-particle":"","parse-names":false,"suffix":""},{"dropping-particle":"","family":"Vellas","given":"Bruno","non-dropping-particle":"","parse-names":false,"suffix":""},{"dropping-particle":"","family":"Visser","given":"Pieter Jelle","non-dropping-particle":"","parse-names":false,"suffix":""},{"dropping-particle":"","family":"Wagner","given":"Michael","non-dropping-particle":"","parse-names":false,"suffix":""}],"container-title":"Alzheimer's and Dementia","id":"ITEM-3","issue":"6","issued":{"date-parts":[["2014"]]},"page":"844-852","title":"A conceptual framework for research on subjective cognitive decline in preclinical Alzheimer's disease","type":"article-journal","volume":"10"},"uris":["http://www.mendeley.com/documents/?uuid=eed3f943-fa8b-47db-8ced-e2927201b20a"]},{"id":"ITEM-4","itemData":{"DOI":"10.1016/S1474-4422(19)30368-0","ISSN":"14744465","PMID":"31958406","abstract":"A growing awareness about brain health and Alzheimer's disease in the general population is leading to an increasing number of cognitively unimpaired individuals, who are concerned that they have reduced cognitive function, to approach the medical system for help. The term subjective cognitive decline (SCD) was conceived in 2014 to describe this condition. Epidemiological data provide evidence that the risk for mild cognitive impairment and dementia is increased in individuals with SCD. However, the majority of individuals with SCD will not show progressive cognitive decline. An individually tailored diagnostic process might be reasonable to identify or exclude underlying medical conditions in an individual with SCD who actively seeks medical help. An increasing number of studies are investigating the link between SCD and the very early stages of Alzheimer's disease and other neurodegenerative diseases.","author":[{"dropping-particle":"","family":"Jessen","given":"Frank","non-dropping-particle":"","parse-names":false,"suffix":""},{"dropping-particle":"","family":"Amariglio","given":"Rebecca E.","non-dropping-particle":"","parse-names":false,"suffix":""},{"dropping-particle":"","family":"Buckley","given":"Rachel F.","non-dropping-particle":"","parse-names":false,"suffix":""},{"dropping-particle":"","family":"Flier","given":"Wiesje M.","non-dropping-particle":"van der","parse-names":false,"suffix":""},{"dropping-particle":"","family":"Han","given":"Ying","non-dropping-particle":"","parse-names":false,"suffix":""},{"dropping-particle":"","family":"Molinuevo","given":"José Luis","non-dropping-particle":"","parse-names":false,"suffix":""},{"dropping-particle":"","family":"Rabin","given":"Laura","non-dropping-particle":"","parse-names":false,"suffix":""},{"dropping-particle":"","family":"Rentz","given":"Dorene M.","non-dropping-particle":"","parse-names":false,"suffix":""},{"dropping-particle":"","family":"Rodriguez-Gomez","given":"Octavio","non-dropping-particle":"","parse-names":false,"suffix":""},{"dropping-particle":"","family":"Saykin","given":"Andrew J.","non-dropping-particle":"","parse-names":false,"suffix":""},{"dropping-particle":"","family":"Sikkes","given":"Sietske A.M.","non-dropping-particle":"","parse-names":false,"suffix":""},{"dropping-particle":"","family":"Smart","given":"Colette M.","non-dropping-particle":"","parse-names":false,"suffix":""},{"dropping-particle":"","family":"Wolfsgruber","given":"Steffen","non-dropping-particle":"","parse-names":false,"suffix":""},{"dropping-particle":"","family":"Wagner","given":"Michael","non-dropping-particle":"","parse-names":false,"suffix":""}],"container-title":"The Lancet Neurology","id":"ITEM-4","issue":"3","issued":{"date-parts":[["2020"]]},"page":"271-278","title":"The characterisation of subjective cognitive decline","type":"article-journal","volume":"19"},"uris":["http://www.mendeley.com/documents/?uuid=059d808a-f397-46bb-8d3c-4ff56ed15536"]}],"mendeley":{"formattedCitation":"(Jessen et al., 2014, 2020; Molinuevo et al., 2017; Rabin et al., 2017)","plainTextFormattedCitation":"(Jessen et al., 2014, 2020; Molinuevo et al., 2017; Rabin et al., 2017)","previouslyFormattedCitation":"(Jessen et al., 2014, 2020; Molinuevo et al., 2017; Rabin et al., 2017)"},"properties":{"noteIndex":0},"schema":"https://github.com/citation-style-language/schema/raw/master/csl-citation.json"}</w:instrText>
      </w:r>
      <w:r w:rsidR="00227B0F" w:rsidRPr="00577052">
        <w:rPr>
          <w:lang w:val="en-GB"/>
        </w:rPr>
        <w:fldChar w:fldCharType="separate"/>
      </w:r>
      <w:r w:rsidR="007D6381" w:rsidRPr="007D6381">
        <w:rPr>
          <w:noProof/>
          <w:lang w:val="en-GB"/>
        </w:rPr>
        <w:t>(Jessen et al., 2014, 2020; Molinuevo et al., 2017; Rabin et al., 2017)</w:t>
      </w:r>
      <w:r w:rsidR="00227B0F" w:rsidRPr="00577052">
        <w:rPr>
          <w:lang w:val="en-GB"/>
        </w:rPr>
        <w:fldChar w:fldCharType="end"/>
      </w:r>
      <w:r w:rsidR="00227B0F" w:rsidRPr="00577052">
        <w:rPr>
          <w:lang w:val="en-GB"/>
        </w:rPr>
        <w:t xml:space="preserve">, the Hospital Anxiety and Depression Scale (HADS) </w:t>
      </w:r>
      <w:r w:rsidR="00227B0F" w:rsidRPr="009C6B0C">
        <w:rPr>
          <w:lang w:val="en-GB"/>
        </w:rPr>
        <w:t xml:space="preserve">was administered </w:t>
      </w:r>
      <w:r w:rsidR="00227B0F" w:rsidRPr="00577052">
        <w:rPr>
          <w:lang w:val="en-GB"/>
        </w:rPr>
        <w:fldChar w:fldCharType="begin" w:fldLock="1"/>
      </w:r>
      <w:r w:rsidR="00CC2D6A">
        <w:rPr>
          <w:lang w:val="en-GB"/>
        </w:rPr>
        <w:instrText>ADDIN CSL_CITATION {"citationItems":[{"id":"ITEM-1","itemData":{"author":[{"dropping-particle":"","family":"Leung","given":"CM","non-dropping-particle":"","parse-names":false,"suffix":""},{"dropping-particle":"","family":"Ho","given":"S","non-dropping-particle":"","parse-names":false,"suffix":""},{"dropping-particle":"","family":"Kan","given":"CS","non-dropping-particle":"","parse-names":false,"suffix":""},{"dropping-particle":"","family":"Hung","given":"CH","non-dropping-particle":"","parse-names":false,"suffix":""},{"dropping-particle":"","family":"Chen","given":"CN","non-dropping-particle":"","parse-names":false,"suffix":""}],"container-title":"International Journal of Psychosomatics","id":"ITEM-1","issue":"1-4","issued":{"date-parts":[["1993"]]},"page":"29-34","title":"Evaluation of the Chinese Version of the Hospital Anxiety and Depression Scale. A cross-cultural perspective","type":"article-journal","volume":"40"},"uris":["http://www.mendeley.com/documents/?uuid=7f6a3895-15f3-4c1a-afe7-c639135ab43a"]},{"id":"ITEM-2","itemData":{"ISSN":"14718405","abstract":"A self-assessment scale has been developed and found to be a reliable instrument for detecting states of depression and anxi- ety in the setting of an hospital medical outpatient clinic. The anxiety and depressive subscales are also valid measures of seventy of the emotional disorder. It is suggested that the introduction of the scales into general hospital practice would facilitate the large task of de- tection and management of emotional disorder in patients under in- vestigation and treatment in medical and surgical departments.","author":[{"dropping-particle":"","family":"Zigmond","given":"A. S.","non-dropping-particle":"","parse-names":false,"suffix":""},{"dropping-particle":"","family":"Snaith","given":"R. P.","non-dropping-particle":"","parse-names":false,"suffix":""}],"container-title":"Acta psychiatrica scandinavica","id":"ITEM-2","issued":{"date-parts":[["1983"]]},"page":"361-370","title":"The Hospital Anxiety and Depression Scale","type":"article-journal","volume":"67"},"uris":["http://www.mendeley.com/documents/?uuid=721f8e5c-a5dd-416d-bfff-5fa473f660d9"]}],"mendeley":{"formattedCitation":"(Leung et al., 1993; Zigmond &amp; Snaith, 1983)","plainTextFormattedCitation":"(Leung et al., 1993; Zigmond &amp; Snaith, 1983)","previouslyFormattedCitation":"(Leung et al., 1993; Zigmond &amp; Snaith, 1983)"},"properties":{"noteIndex":0},"schema":"https://github.com/citation-style-language/schema/raw/master/csl-citation.json"}</w:instrText>
      </w:r>
      <w:r w:rsidR="00227B0F" w:rsidRPr="00577052">
        <w:rPr>
          <w:lang w:val="en-GB"/>
        </w:rPr>
        <w:fldChar w:fldCharType="separate"/>
      </w:r>
      <w:r w:rsidR="007D6381" w:rsidRPr="007D6381">
        <w:rPr>
          <w:noProof/>
          <w:lang w:val="en-GB"/>
        </w:rPr>
        <w:t>(Leung et al., 1993; Zigmond &amp; Snaith, 1983)</w:t>
      </w:r>
      <w:r w:rsidR="00227B0F" w:rsidRPr="00577052">
        <w:rPr>
          <w:lang w:val="en-GB"/>
        </w:rPr>
        <w:fldChar w:fldCharType="end"/>
      </w:r>
      <w:r w:rsidR="00227B0F" w:rsidRPr="00577052">
        <w:rPr>
          <w:lang w:val="en-GB"/>
        </w:rPr>
        <w:t xml:space="preserve">. </w:t>
      </w:r>
      <w:r w:rsidR="00227B0F" w:rsidRPr="00577052">
        <w:rPr>
          <w:color w:val="000000"/>
          <w:shd w:val="clear" w:color="auto" w:fill="FFFFFF"/>
          <w:lang w:eastAsia="en-US"/>
        </w:rPr>
        <w:t xml:space="preserve">HADS is a 14-item self-report measure that assesses depression (7 items; </w:t>
      </w:r>
      <w:r w:rsidR="00227B0F" w:rsidRPr="00577052">
        <w:rPr>
          <w:lang w:val="en-GB"/>
        </w:rPr>
        <w:t>e.g., “I feel miserable and sad”</w:t>
      </w:r>
      <w:r w:rsidR="00227B0F" w:rsidRPr="00577052">
        <w:rPr>
          <w:color w:val="000000"/>
          <w:shd w:val="clear" w:color="auto" w:fill="FFFFFF"/>
          <w:lang w:eastAsia="en-US"/>
        </w:rPr>
        <w:t xml:space="preserve">) and anxiety (7 items; e.g., </w:t>
      </w:r>
      <w:r w:rsidR="00227B0F" w:rsidRPr="00577052">
        <w:rPr>
          <w:lang w:val="en-GB"/>
        </w:rPr>
        <w:t>“I get sudden feelings of panic”</w:t>
      </w:r>
      <w:r w:rsidR="00227B0F" w:rsidRPr="00577052">
        <w:rPr>
          <w:color w:val="000000"/>
          <w:shd w:val="clear" w:color="auto" w:fill="FFFFFF"/>
          <w:lang w:eastAsia="en-US"/>
        </w:rPr>
        <w:t>). Individuals respond to each item on a four-point Likert-type scale that varies depending on the item, but generally reflects frequency (</w:t>
      </w:r>
      <w:r w:rsidR="00BA29C1">
        <w:rPr>
          <w:color w:val="000000"/>
          <w:shd w:val="clear" w:color="auto" w:fill="FFFFFF"/>
          <w:lang w:eastAsia="en-US"/>
        </w:rPr>
        <w:t>i.e.</w:t>
      </w:r>
      <w:r w:rsidR="00227B0F" w:rsidRPr="00577052">
        <w:rPr>
          <w:color w:val="000000"/>
          <w:shd w:val="clear" w:color="auto" w:fill="FFFFFF"/>
          <w:lang w:eastAsia="en-US"/>
        </w:rPr>
        <w:t xml:space="preserve">, 0 = not at all to 3 = all the time) during the past week. </w:t>
      </w:r>
      <w:r w:rsidR="00227B0F" w:rsidRPr="00577052">
        <w:rPr>
          <w:lang w:val="en-GB"/>
        </w:rPr>
        <w:t>Higher scores indicate more severe depressive or anxious symptoms</w:t>
      </w:r>
      <w:r w:rsidR="0056116A">
        <w:rPr>
          <w:lang w:val="en-GB"/>
        </w:rPr>
        <w:t>.</w:t>
      </w:r>
    </w:p>
    <w:p w14:paraId="225C1E07" w14:textId="451D1B52" w:rsidR="00D03967" w:rsidRPr="00577052" w:rsidRDefault="00D03967" w:rsidP="00577052">
      <w:pPr>
        <w:spacing w:line="480" w:lineRule="auto"/>
        <w:contextualSpacing/>
        <w:rPr>
          <w:b/>
          <w:bCs/>
          <w:lang w:val="en-GB"/>
        </w:rPr>
      </w:pPr>
      <w:r w:rsidRPr="00577052">
        <w:rPr>
          <w:b/>
          <w:bCs/>
          <w:lang w:val="en-GB"/>
        </w:rPr>
        <w:t>Statistical analyses</w:t>
      </w:r>
    </w:p>
    <w:p w14:paraId="663764FC" w14:textId="2C25B7FB" w:rsidR="0092472C" w:rsidRDefault="007C4585" w:rsidP="0092472C">
      <w:pPr>
        <w:spacing w:line="480" w:lineRule="auto"/>
        <w:contextualSpacing/>
        <w:rPr>
          <w:color w:val="2A2A2A"/>
          <w:shd w:val="clear" w:color="auto" w:fill="FFFFFF"/>
          <w:lang w:eastAsia="en-US"/>
        </w:rPr>
      </w:pPr>
      <w:r w:rsidRPr="00577052">
        <w:rPr>
          <w:color w:val="2A2A2A"/>
          <w:shd w:val="clear" w:color="auto" w:fill="FFFFFF"/>
          <w:lang w:eastAsia="en-US"/>
        </w:rPr>
        <w:t xml:space="preserve">Descriptive statistics were computed for demographic, clinical, and patient-reported variables. </w:t>
      </w:r>
      <w:r w:rsidR="00B1620D">
        <w:rPr>
          <w:color w:val="2A2A2A"/>
          <w:shd w:val="clear" w:color="auto" w:fill="FFFFFF"/>
          <w:lang w:eastAsia="en-US"/>
        </w:rPr>
        <w:t xml:space="preserve">Two variables were derived from the KDQOL-CF scores: (1) total sum score of the KDQOL-CF as a continuous variable to indicate frequency of SCCs in line with prior work </w:t>
      </w:r>
      <w:r w:rsidR="00B1620D">
        <w:rPr>
          <w:color w:val="2A2A2A"/>
          <w:shd w:val="clear" w:color="auto" w:fill="FFFFFF"/>
          <w:lang w:eastAsia="en-US"/>
        </w:rPr>
        <w:fldChar w:fldCharType="begin" w:fldLock="1"/>
      </w:r>
      <w:r w:rsidR="00333475">
        <w:rPr>
          <w:color w:val="2A2A2A"/>
          <w:shd w:val="clear" w:color="auto" w:fill="FFFFFF"/>
          <w:lang w:eastAsia="en-US"/>
        </w:rPr>
        <w:instrText>ADDIN CSL_CITATION {"citationItems":[{"id":"ITEM-1","itemData":{"DOI":"10.1007/s12160-012-9359-4","ISSN":"08836612","PMID":"22454221","abstract":"Background Although adherence to immunosupressive medication after transplantation is important to maximize good clinical outcomes it remains suboptimal and not wellunderstood. The purpose of this study was to examine intentional and unintentional non-Adherence to immunosuppression medication in kidney transplant patients. Methods A cross-sectional sample of N0218 patients [49.6± 12.3 years] recruited in London, UK (1999-2002) completed measures of medication beliefs, quality-of-life, depression, and transplantation- specific emotions. Adherence was measured with self-report and serial immunosuppressive assays. Results Intentional non-Adherence was low (13.8 %) yet 62.4 % admitted unintentional non-Adherence and 25.4 % had sub-target immunosuppressive levels. The risk of subtarget serum immunosuppressive levels was greater for patients admitting unintentional non-Adherence (OR08.4; p=0.004). Dialysis vintage, doubts about necessity, and lower worry about viability of graft explained R 2016.1 to 36 % of self-report non-Adherence. Depression was related only to intentional non-Adherence. Conclusions Non-Adherence is common in kidney transplantation. Efforts to increase adherence should be implemented by targeting necessity beliefs, monitoring depression, and promoting strategies to decrease forgetfulness. © The Society of Behavioral Medicine 2012.","author":[{"dropping-particle":"","family":"Griva","given":"Konstadina","non-dropping-particle":"","parse-names":false,"suffix":""},{"dropping-particle":"","family":"Davenport","given":"Andrew","non-dropping-particle":"","parse-names":false,"suffix":""},{"dropping-particle":"","family":"Harrison","given":"Michael","non-dropping-particle":"","parse-names":false,"suffix":""},{"dropping-particle":"","family":"Newman","given":"Stanton P.","non-dropping-particle":"","parse-names":false,"suffix":""}],"container-title":"Annals of Behavioral Medicine","id":"ITEM-1","issued":{"date-parts":[["2012"]]},"page":"85-93","title":"Non-adherence to Immunosuppressive Medications in Kidney Transplantation: Intent Vs. Forgetfulness and Clinical Markers of Medication Intake","type":"article-journal","volume":"44"},"uris":["http://www.mendeley.com/documents/?uuid=fb130a14-27fb-4eee-b0a7-9e618e3ea278"]}],"mendeley":{"formattedCitation":"(Griva et al., 2012)","plainTextFormattedCitation":"(Griva et al., 2012)","previouslyFormattedCitation":"(Griva et al., 2012)"},"properties":{"noteIndex":0},"schema":"https://github.com/citation-style-language/schema/raw/master/csl-citation.json"}</w:instrText>
      </w:r>
      <w:r w:rsidR="00B1620D">
        <w:rPr>
          <w:color w:val="2A2A2A"/>
          <w:shd w:val="clear" w:color="auto" w:fill="FFFFFF"/>
          <w:lang w:eastAsia="en-US"/>
        </w:rPr>
        <w:fldChar w:fldCharType="separate"/>
      </w:r>
      <w:r w:rsidR="00B1620D" w:rsidRPr="00B1620D">
        <w:rPr>
          <w:noProof/>
          <w:color w:val="2A2A2A"/>
          <w:shd w:val="clear" w:color="auto" w:fill="FFFFFF"/>
          <w:lang w:eastAsia="en-US"/>
        </w:rPr>
        <w:t>(Griva et al., 2012)</w:t>
      </w:r>
      <w:r w:rsidR="00B1620D">
        <w:rPr>
          <w:color w:val="2A2A2A"/>
          <w:shd w:val="clear" w:color="auto" w:fill="FFFFFF"/>
          <w:lang w:eastAsia="en-US"/>
        </w:rPr>
        <w:fldChar w:fldCharType="end"/>
      </w:r>
      <w:r w:rsidR="00333475">
        <w:rPr>
          <w:color w:val="2A2A2A"/>
          <w:shd w:val="clear" w:color="auto" w:fill="FFFFFF"/>
          <w:lang w:eastAsia="en-US"/>
        </w:rPr>
        <w:t xml:space="preserve">, and (2) binary classification of KDQOL-CF scores into “probable CIs” </w:t>
      </w:r>
      <w:r w:rsidR="00333475">
        <w:rPr>
          <w:lang w:val="en-GB"/>
        </w:rPr>
        <w:t xml:space="preserve">(i.e., &lt; 60) </w:t>
      </w:r>
      <w:r w:rsidR="00333475">
        <w:rPr>
          <w:color w:val="2A2A2A"/>
          <w:shd w:val="clear" w:color="auto" w:fill="FFFFFF"/>
          <w:lang w:eastAsia="en-US"/>
        </w:rPr>
        <w:t xml:space="preserve">vs. “no CI” groups </w:t>
      </w:r>
      <w:r w:rsidR="00333475">
        <w:rPr>
          <w:lang w:val="en-GB"/>
        </w:rPr>
        <w:t xml:space="preserve">(i.e., </w:t>
      </w:r>
      <w:r w:rsidR="00333475">
        <w:rPr>
          <w:lang w:val="en-GB"/>
        </w:rPr>
        <w:sym w:font="Symbol" w:char="F0B3"/>
      </w:r>
      <w:r w:rsidR="00333475">
        <w:rPr>
          <w:lang w:val="en-GB"/>
        </w:rPr>
        <w:t xml:space="preserve"> 60) </w:t>
      </w:r>
      <w:r w:rsidR="00333475">
        <w:rPr>
          <w:color w:val="2A2A2A"/>
          <w:shd w:val="clear" w:color="auto" w:fill="FFFFFF"/>
          <w:lang w:eastAsia="en-US"/>
        </w:rPr>
        <w:t xml:space="preserve">based on a validated cut-off point </w:t>
      </w:r>
      <w:r w:rsidR="00333475">
        <w:rPr>
          <w:color w:val="2A2A2A"/>
          <w:shd w:val="clear" w:color="auto" w:fill="FFFFFF"/>
          <w:lang w:eastAsia="en-US"/>
        </w:rPr>
        <w:fldChar w:fldCharType="begin" w:fldLock="1"/>
      </w:r>
      <w:r w:rsidR="00E61F45">
        <w:rPr>
          <w:color w:val="2A2A2A"/>
          <w:shd w:val="clear" w:color="auto" w:fill="FFFFFF"/>
          <w:lang w:eastAsia="en-US"/>
        </w:rPr>
        <w:instrText>ADDIN CSL_CITATION {"citationItems":[{"id":"ITEM-1","itemData":{"DOI":"10.1111/j.1523-1755.2004.66024.x","ISSN":"00852538","PMID":"15569327","abstract":"Background.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International","id":"ITEM-1","issued":{"date-parts":[["2004"]]},"page":"2361-2367","title":"Validation of the Kidney Disease Quality of Life (KDQOL) Cognitive Function subscale","type":"article-journal","volume":"66"},"uris":["http://www.mendeley.com/documents/?uuid=beb6443f-f5ae-4cf7-86fb-b02742370254"]}],"mendeley":{"formattedCitation":"(Kurella et al., 2004)","plainTextFormattedCitation":"(Kurella et al., 2004)","previouslyFormattedCitation":"(Kurella et al., 2004)"},"properties":{"noteIndex":0},"schema":"https://github.com/citation-style-language/schema/raw/master/csl-citation.json"}</w:instrText>
      </w:r>
      <w:r w:rsidR="00333475">
        <w:rPr>
          <w:color w:val="2A2A2A"/>
          <w:shd w:val="clear" w:color="auto" w:fill="FFFFFF"/>
          <w:lang w:eastAsia="en-US"/>
        </w:rPr>
        <w:fldChar w:fldCharType="separate"/>
      </w:r>
      <w:r w:rsidR="00333475" w:rsidRPr="00333475">
        <w:rPr>
          <w:noProof/>
          <w:color w:val="2A2A2A"/>
          <w:shd w:val="clear" w:color="auto" w:fill="FFFFFF"/>
          <w:lang w:eastAsia="en-US"/>
        </w:rPr>
        <w:t>(Kurella et al., 2004)</w:t>
      </w:r>
      <w:r w:rsidR="00333475">
        <w:rPr>
          <w:color w:val="2A2A2A"/>
          <w:shd w:val="clear" w:color="auto" w:fill="FFFFFF"/>
          <w:lang w:eastAsia="en-US"/>
        </w:rPr>
        <w:fldChar w:fldCharType="end"/>
      </w:r>
      <w:r w:rsidR="00333475">
        <w:rPr>
          <w:color w:val="2A2A2A"/>
          <w:shd w:val="clear" w:color="auto" w:fill="FFFFFF"/>
          <w:lang w:eastAsia="en-US"/>
        </w:rPr>
        <w:t>.</w:t>
      </w:r>
      <w:r w:rsidR="0051633B">
        <w:rPr>
          <w:color w:val="2A2A2A"/>
          <w:shd w:val="clear" w:color="auto" w:fill="FFFFFF"/>
          <w:lang w:eastAsia="en-US"/>
        </w:rPr>
        <w:t xml:space="preserve"> A paired-samples t-test was run to examine overall change in the continuous KDQOL-CF scores </w:t>
      </w:r>
      <w:r w:rsidR="00A10CC0">
        <w:rPr>
          <w:color w:val="2A2A2A"/>
          <w:shd w:val="clear" w:color="auto" w:fill="FFFFFF"/>
          <w:lang w:eastAsia="en-US"/>
        </w:rPr>
        <w:t>from baseline to follow-up</w:t>
      </w:r>
      <w:r w:rsidR="0051633B">
        <w:rPr>
          <w:color w:val="2A2A2A"/>
          <w:shd w:val="clear" w:color="auto" w:fill="FFFFFF"/>
          <w:lang w:eastAsia="en-US"/>
        </w:rPr>
        <w:t xml:space="preserve"> in the entire sample.</w:t>
      </w:r>
      <w:r w:rsidR="00A10CC0">
        <w:rPr>
          <w:color w:val="2A2A2A"/>
          <w:shd w:val="clear" w:color="auto" w:fill="FFFFFF"/>
          <w:lang w:eastAsia="en-US"/>
        </w:rPr>
        <w:t xml:space="preserve"> A Chi-squared test was also run to examine change in the proportion of patients classified into the “probable CIs” group from baseline to follow-up.</w:t>
      </w:r>
    </w:p>
    <w:p w14:paraId="4B06497D" w14:textId="53C1E322" w:rsidR="0038095F" w:rsidRDefault="0092472C" w:rsidP="0092472C">
      <w:pPr>
        <w:spacing w:line="480" w:lineRule="auto"/>
        <w:ind w:firstLine="567"/>
        <w:contextualSpacing/>
        <w:rPr>
          <w:lang w:val="en-GB"/>
        </w:rPr>
      </w:pPr>
      <w:r>
        <w:rPr>
          <w:lang w:val="en-GB"/>
        </w:rPr>
        <w:lastRenderedPageBreak/>
        <w:t xml:space="preserve">Based on the binary classification of KDQOL-CF at </w:t>
      </w:r>
      <w:r w:rsidR="005A0CAF">
        <w:rPr>
          <w:lang w:val="en-GB"/>
        </w:rPr>
        <w:t xml:space="preserve">two </w:t>
      </w:r>
      <w:r>
        <w:rPr>
          <w:lang w:val="en-GB"/>
        </w:rPr>
        <w:t>time points, i</w:t>
      </w:r>
      <w:r w:rsidR="00C12419">
        <w:rPr>
          <w:lang w:val="en-GB"/>
        </w:rPr>
        <w:t xml:space="preserve">ndividual trajectories of SCCs over the 12-month period were then determined by </w:t>
      </w:r>
      <w:r w:rsidR="00AA7F8D">
        <w:rPr>
          <w:lang w:val="en-GB"/>
        </w:rPr>
        <w:t>categorising</w:t>
      </w:r>
      <w:r w:rsidR="00C12419">
        <w:rPr>
          <w:lang w:val="en-GB"/>
        </w:rPr>
        <w:t xml:space="preserve"> patients into four</w:t>
      </w:r>
      <w:r w:rsidR="00310EB4" w:rsidRPr="00577052">
        <w:rPr>
          <w:lang w:val="en-GB"/>
        </w:rPr>
        <w:t xml:space="preserve"> groups: </w:t>
      </w:r>
      <w:r w:rsidR="00954A77" w:rsidRPr="00577052">
        <w:rPr>
          <w:lang w:val="en-GB"/>
        </w:rPr>
        <w:t xml:space="preserve">(1) </w:t>
      </w:r>
      <w:r w:rsidR="006421DB" w:rsidRPr="00577052">
        <w:rPr>
          <w:lang w:val="en-GB"/>
        </w:rPr>
        <w:t>resilient</w:t>
      </w:r>
      <w:r w:rsidR="00382CD3" w:rsidRPr="00577052">
        <w:rPr>
          <w:lang w:val="en-GB"/>
        </w:rPr>
        <w:t xml:space="preserve"> </w:t>
      </w:r>
      <w:r w:rsidR="00954A77" w:rsidRPr="00577052">
        <w:rPr>
          <w:lang w:val="en-GB"/>
        </w:rPr>
        <w:t xml:space="preserve">(i.e., </w:t>
      </w:r>
      <w:r w:rsidR="00AA7F8D">
        <w:rPr>
          <w:lang w:val="en-GB"/>
        </w:rPr>
        <w:t>no CI</w:t>
      </w:r>
      <w:r w:rsidR="006A7360">
        <w:rPr>
          <w:lang w:val="en-GB"/>
        </w:rPr>
        <w:t xml:space="preserve"> </w:t>
      </w:r>
      <w:r w:rsidR="00267679" w:rsidRPr="00577052">
        <w:rPr>
          <w:lang w:val="en-GB"/>
        </w:rPr>
        <w:t xml:space="preserve">at both time points); (2) </w:t>
      </w:r>
      <w:r w:rsidR="00CE2462" w:rsidRPr="00577052">
        <w:rPr>
          <w:lang w:val="en-GB"/>
        </w:rPr>
        <w:t xml:space="preserve">persistent (i.e., </w:t>
      </w:r>
      <w:r w:rsidR="00DA5434">
        <w:rPr>
          <w:lang w:val="en-GB"/>
        </w:rPr>
        <w:t>probable CIs</w:t>
      </w:r>
      <w:r w:rsidR="00CE1065">
        <w:rPr>
          <w:lang w:val="en-GB"/>
        </w:rPr>
        <w:t xml:space="preserve"> </w:t>
      </w:r>
      <w:r w:rsidR="00CE2462" w:rsidRPr="00577052">
        <w:rPr>
          <w:lang w:val="en-GB"/>
        </w:rPr>
        <w:t>at both time points)</w:t>
      </w:r>
      <w:r w:rsidR="003B1A15" w:rsidRPr="00577052">
        <w:rPr>
          <w:lang w:val="en-GB"/>
        </w:rPr>
        <w:t xml:space="preserve">; (3) </w:t>
      </w:r>
      <w:r w:rsidR="00886CCF" w:rsidRPr="00577052">
        <w:rPr>
          <w:lang w:val="en-GB"/>
        </w:rPr>
        <w:t>deterioration</w:t>
      </w:r>
      <w:r w:rsidR="00A26E77">
        <w:rPr>
          <w:lang w:val="en-GB"/>
        </w:rPr>
        <w:t>/new</w:t>
      </w:r>
      <w:r w:rsidR="0096383E">
        <w:rPr>
          <w:lang w:val="en-GB"/>
        </w:rPr>
        <w:t>-</w:t>
      </w:r>
      <w:r w:rsidR="00A26E77">
        <w:rPr>
          <w:lang w:val="en-GB"/>
        </w:rPr>
        <w:t>onset CI</w:t>
      </w:r>
      <w:r w:rsidR="0096383E">
        <w:rPr>
          <w:lang w:val="en-GB"/>
        </w:rPr>
        <w:t>s</w:t>
      </w:r>
      <w:r w:rsidR="00886CCF" w:rsidRPr="00577052">
        <w:rPr>
          <w:lang w:val="en-GB"/>
        </w:rPr>
        <w:t xml:space="preserve"> (</w:t>
      </w:r>
      <w:r w:rsidR="009E51E5" w:rsidRPr="00577052">
        <w:rPr>
          <w:lang w:val="en-GB"/>
        </w:rPr>
        <w:t>i.e., no</w:t>
      </w:r>
      <w:r w:rsidR="00382CD3" w:rsidRPr="00577052">
        <w:rPr>
          <w:lang w:val="en-GB"/>
        </w:rPr>
        <w:t xml:space="preserve"> CI </w:t>
      </w:r>
      <w:r w:rsidR="009E51E5" w:rsidRPr="00577052">
        <w:rPr>
          <w:lang w:val="en-GB"/>
        </w:rPr>
        <w:t xml:space="preserve">at baseline </w:t>
      </w:r>
      <w:r w:rsidR="00AC729C" w:rsidRPr="00577052">
        <w:rPr>
          <w:lang w:val="en-GB"/>
        </w:rPr>
        <w:t xml:space="preserve">with new-onset complaints </w:t>
      </w:r>
      <w:r w:rsidR="00D0685A" w:rsidRPr="00577052">
        <w:rPr>
          <w:lang w:val="en-GB"/>
        </w:rPr>
        <w:t xml:space="preserve">signifying probable CIs </w:t>
      </w:r>
      <w:r w:rsidR="00AC729C" w:rsidRPr="00577052">
        <w:rPr>
          <w:lang w:val="en-GB"/>
        </w:rPr>
        <w:t>at follow-up</w:t>
      </w:r>
      <w:r w:rsidR="00886CCF" w:rsidRPr="00577052">
        <w:rPr>
          <w:lang w:val="en-GB"/>
        </w:rPr>
        <w:t>)</w:t>
      </w:r>
      <w:r w:rsidR="00DE0EEE" w:rsidRPr="00577052">
        <w:rPr>
          <w:lang w:val="en-GB"/>
        </w:rPr>
        <w:t xml:space="preserve">; </w:t>
      </w:r>
      <w:r w:rsidR="005B680A" w:rsidRPr="00577052">
        <w:rPr>
          <w:lang w:val="en-GB"/>
        </w:rPr>
        <w:t xml:space="preserve">and </w:t>
      </w:r>
      <w:r w:rsidR="00DE0EEE" w:rsidRPr="00577052">
        <w:rPr>
          <w:lang w:val="en-GB"/>
        </w:rPr>
        <w:t xml:space="preserve">(4) recovery </w:t>
      </w:r>
      <w:r w:rsidR="005B680A" w:rsidRPr="00577052">
        <w:rPr>
          <w:lang w:val="en-GB"/>
        </w:rPr>
        <w:t xml:space="preserve">(i.e., </w:t>
      </w:r>
      <w:r w:rsidR="007947DA" w:rsidRPr="00577052">
        <w:rPr>
          <w:lang w:val="en-GB"/>
        </w:rPr>
        <w:t>probab</w:t>
      </w:r>
      <w:r w:rsidR="00806B98" w:rsidRPr="00577052">
        <w:rPr>
          <w:lang w:val="en-GB"/>
        </w:rPr>
        <w:t>le</w:t>
      </w:r>
      <w:r w:rsidR="007947DA" w:rsidRPr="00577052">
        <w:rPr>
          <w:lang w:val="en-GB"/>
        </w:rPr>
        <w:t xml:space="preserve"> CIs</w:t>
      </w:r>
      <w:r w:rsidR="002A1A50" w:rsidRPr="00577052">
        <w:rPr>
          <w:lang w:val="en-GB"/>
        </w:rPr>
        <w:t xml:space="preserve"> at baseline </w:t>
      </w:r>
      <w:r w:rsidR="008C1FC1">
        <w:rPr>
          <w:lang w:val="en-GB"/>
        </w:rPr>
        <w:t>but no CI</w:t>
      </w:r>
      <w:r w:rsidR="00277DD9" w:rsidRPr="00577052">
        <w:rPr>
          <w:lang w:val="en-GB"/>
        </w:rPr>
        <w:t xml:space="preserve"> at follow-up</w:t>
      </w:r>
      <w:r w:rsidR="005B680A" w:rsidRPr="00577052">
        <w:rPr>
          <w:lang w:val="en-GB"/>
        </w:rPr>
        <w:t>)</w:t>
      </w:r>
      <w:r w:rsidR="00277DD9" w:rsidRPr="00577052">
        <w:rPr>
          <w:lang w:val="en-GB"/>
        </w:rPr>
        <w:t>.</w:t>
      </w:r>
      <w:r w:rsidR="008F5417" w:rsidRPr="00577052">
        <w:rPr>
          <w:lang w:val="en-GB"/>
        </w:rPr>
        <w:t xml:space="preserve"> </w:t>
      </w:r>
      <w:r w:rsidR="00271206">
        <w:rPr>
          <w:lang w:val="en-GB"/>
        </w:rPr>
        <w:t xml:space="preserve">Prevalence of each trajectory was calculated. </w:t>
      </w:r>
      <w:r w:rsidR="008F5417" w:rsidRPr="00577052">
        <w:rPr>
          <w:lang w:val="en-GB"/>
        </w:rPr>
        <w:t xml:space="preserve">ANOVAs and Chi-squared tests were </w:t>
      </w:r>
      <w:r w:rsidR="00271206">
        <w:rPr>
          <w:lang w:val="en-GB"/>
        </w:rPr>
        <w:t>conducted</w:t>
      </w:r>
      <w:r w:rsidR="008F5417" w:rsidRPr="00577052">
        <w:rPr>
          <w:lang w:val="en-GB"/>
        </w:rPr>
        <w:t xml:space="preserve"> to compare baseline sociodemographic and clinical characteristics between the four </w:t>
      </w:r>
      <w:r w:rsidR="00002495">
        <w:rPr>
          <w:lang w:val="en-GB"/>
        </w:rPr>
        <w:t xml:space="preserve">trajectory </w:t>
      </w:r>
      <w:r w:rsidR="008F5417" w:rsidRPr="00577052">
        <w:rPr>
          <w:lang w:val="en-GB"/>
        </w:rPr>
        <w:t>groups.</w:t>
      </w:r>
      <w:r w:rsidR="00675BDF" w:rsidRPr="00577052">
        <w:rPr>
          <w:lang w:val="en-GB"/>
        </w:rPr>
        <w:t xml:space="preserve"> </w:t>
      </w:r>
      <w:r w:rsidR="00D80007" w:rsidRPr="00577052">
        <w:rPr>
          <w:lang w:val="en-GB"/>
        </w:rPr>
        <w:t xml:space="preserve">We also performed </w:t>
      </w:r>
      <w:r w:rsidR="00CA213D" w:rsidRPr="00577052">
        <w:rPr>
          <w:lang w:val="en-GB"/>
        </w:rPr>
        <w:t xml:space="preserve">a series of </w:t>
      </w:r>
      <w:r w:rsidR="00D0068D" w:rsidRPr="00577052">
        <w:rPr>
          <w:lang w:val="en-GB"/>
        </w:rPr>
        <w:t>4 (trajectory groups)</w:t>
      </w:r>
      <w:r w:rsidR="00675BDF" w:rsidRPr="00577052">
        <w:rPr>
          <w:lang w:val="en-GB"/>
        </w:rPr>
        <w:t xml:space="preserve"> </w:t>
      </w:r>
      <w:r w:rsidR="00D0068D" w:rsidRPr="00577052">
        <w:rPr>
          <w:lang w:val="en-GB"/>
        </w:rPr>
        <w:sym w:font="Symbol" w:char="F0B4"/>
      </w:r>
      <w:r w:rsidR="00D0068D" w:rsidRPr="00577052">
        <w:rPr>
          <w:lang w:val="en-GB"/>
        </w:rPr>
        <w:t xml:space="preserve"> 2 (time</w:t>
      </w:r>
      <w:r w:rsidR="00774781" w:rsidRPr="00577052">
        <w:rPr>
          <w:lang w:val="en-GB"/>
        </w:rPr>
        <w:t xml:space="preserve"> points</w:t>
      </w:r>
      <w:r w:rsidR="00D0068D" w:rsidRPr="00577052">
        <w:rPr>
          <w:lang w:val="en-GB"/>
        </w:rPr>
        <w:t>) mixed ANOVA</w:t>
      </w:r>
      <w:r w:rsidR="005F65AB" w:rsidRPr="00577052">
        <w:rPr>
          <w:lang w:val="en-GB"/>
        </w:rPr>
        <w:t xml:space="preserve">s </w:t>
      </w:r>
      <w:r w:rsidR="00DF449E" w:rsidRPr="00577052">
        <w:rPr>
          <w:lang w:val="en-GB"/>
        </w:rPr>
        <w:t>examining</w:t>
      </w:r>
      <w:r w:rsidR="00E44704" w:rsidRPr="00577052">
        <w:rPr>
          <w:lang w:val="en-GB"/>
        </w:rPr>
        <w:t xml:space="preserve"> </w:t>
      </w:r>
      <w:r w:rsidR="00E76D1B" w:rsidRPr="00577052">
        <w:rPr>
          <w:lang w:val="en-GB"/>
        </w:rPr>
        <w:t xml:space="preserve">longitudinal </w:t>
      </w:r>
      <w:r w:rsidR="006914CF" w:rsidRPr="00577052">
        <w:rPr>
          <w:lang w:val="en-GB"/>
        </w:rPr>
        <w:t xml:space="preserve">changes </w:t>
      </w:r>
      <w:r w:rsidR="00FE64A3" w:rsidRPr="00577052">
        <w:rPr>
          <w:lang w:val="en-GB"/>
        </w:rPr>
        <w:t>in</w:t>
      </w:r>
      <w:r w:rsidR="00B64D68" w:rsidRPr="00577052">
        <w:rPr>
          <w:lang w:val="en-GB"/>
        </w:rPr>
        <w:t xml:space="preserve"> clinical outcomes (i.e., serum phosph</w:t>
      </w:r>
      <w:r w:rsidR="0016670C" w:rsidRPr="00577052">
        <w:rPr>
          <w:lang w:val="en-GB"/>
        </w:rPr>
        <w:t>orus</w:t>
      </w:r>
      <w:r w:rsidR="00B64D68" w:rsidRPr="00577052">
        <w:rPr>
          <w:lang w:val="en-GB"/>
        </w:rPr>
        <w:t>, serum potassium, Ca</w:t>
      </w:r>
      <w:r w:rsidR="0016670C" w:rsidRPr="00577052">
        <w:rPr>
          <w:lang w:val="en-GB"/>
        </w:rPr>
        <w:t xml:space="preserve"> </w:t>
      </w:r>
      <w:r w:rsidR="0016670C" w:rsidRPr="00577052">
        <w:rPr>
          <w:lang w:val="en-GB"/>
        </w:rPr>
        <w:sym w:font="Symbol" w:char="F0B4"/>
      </w:r>
      <w:r w:rsidR="0016670C" w:rsidRPr="00577052">
        <w:rPr>
          <w:lang w:val="en-GB"/>
        </w:rPr>
        <w:t xml:space="preserve"> </w:t>
      </w:r>
      <w:r w:rsidR="00B64D68" w:rsidRPr="00577052">
        <w:rPr>
          <w:lang w:val="en-GB"/>
        </w:rPr>
        <w:t xml:space="preserve">PO4, and </w:t>
      </w:r>
      <w:proofErr w:type="spellStart"/>
      <w:r w:rsidR="00B64D68" w:rsidRPr="00577052">
        <w:rPr>
          <w:lang w:val="en-GB"/>
        </w:rPr>
        <w:t>IDWGr</w:t>
      </w:r>
      <w:proofErr w:type="spellEnd"/>
      <w:r w:rsidR="00BF40FB" w:rsidRPr="00577052">
        <w:rPr>
          <w:lang w:val="en-GB"/>
        </w:rPr>
        <w:t>)</w:t>
      </w:r>
      <w:r w:rsidR="00C80E42" w:rsidRPr="00577052">
        <w:rPr>
          <w:lang w:val="en-GB"/>
        </w:rPr>
        <w:t xml:space="preserve"> and patient-reported outcomes (i.e.,</w:t>
      </w:r>
      <w:r w:rsidR="00FE64A3" w:rsidRPr="00577052">
        <w:rPr>
          <w:lang w:val="en-GB"/>
        </w:rPr>
        <w:t xml:space="preserve"> self-efficac</w:t>
      </w:r>
      <w:r w:rsidR="00712E7E">
        <w:rPr>
          <w:lang w:val="en-GB"/>
        </w:rPr>
        <w:t>y</w:t>
      </w:r>
      <w:r w:rsidR="00271206" w:rsidRPr="00577052">
        <w:rPr>
          <w:lang w:val="en-GB"/>
        </w:rPr>
        <w:t xml:space="preserve">, self-management skills, </w:t>
      </w:r>
      <w:r w:rsidR="00C80E42" w:rsidRPr="00577052">
        <w:rPr>
          <w:lang w:val="en-GB"/>
        </w:rPr>
        <w:t>treatment adherence</w:t>
      </w:r>
      <w:r w:rsidR="00271206">
        <w:rPr>
          <w:lang w:val="en-GB"/>
        </w:rPr>
        <w:t xml:space="preserve">, </w:t>
      </w:r>
      <w:r w:rsidR="00C80E42" w:rsidRPr="00577052">
        <w:rPr>
          <w:lang w:val="en-GB"/>
        </w:rPr>
        <w:t>and mood</w:t>
      </w:r>
      <w:r w:rsidR="00712E7E">
        <w:rPr>
          <w:lang w:val="en-GB"/>
        </w:rPr>
        <w:t xml:space="preserve"> symptoms</w:t>
      </w:r>
      <w:r w:rsidR="00C80E42" w:rsidRPr="00577052">
        <w:rPr>
          <w:lang w:val="en-GB"/>
        </w:rPr>
        <w:t>)</w:t>
      </w:r>
      <w:r w:rsidR="002E0BBB" w:rsidRPr="00577052">
        <w:rPr>
          <w:lang w:val="en-GB"/>
        </w:rPr>
        <w:t xml:space="preserve"> </w:t>
      </w:r>
      <w:r w:rsidR="006565FF" w:rsidRPr="00577052">
        <w:rPr>
          <w:lang w:val="en-GB"/>
        </w:rPr>
        <w:t>across</w:t>
      </w:r>
      <w:r w:rsidR="002E0BBB" w:rsidRPr="00577052">
        <w:rPr>
          <w:lang w:val="en-GB"/>
        </w:rPr>
        <w:t xml:space="preserve"> the four trajectory groups.</w:t>
      </w:r>
      <w:r w:rsidR="00002AE7" w:rsidRPr="00577052">
        <w:rPr>
          <w:lang w:val="en-GB"/>
        </w:rPr>
        <w:t xml:space="preserve"> Significant main effects or interactions were followed up by post-hoc comparisons</w:t>
      </w:r>
      <w:r w:rsidR="00A26E77">
        <w:rPr>
          <w:lang w:val="en-GB"/>
        </w:rPr>
        <w:t xml:space="preserve"> (</w:t>
      </w:r>
      <w:r w:rsidR="007E1897">
        <w:rPr>
          <w:lang w:val="en-GB"/>
        </w:rPr>
        <w:t>i.e., paired samples t-tests</w:t>
      </w:r>
      <w:r w:rsidR="003B41CD">
        <w:rPr>
          <w:lang w:val="en-GB"/>
        </w:rPr>
        <w:t xml:space="preserve">, </w:t>
      </w:r>
      <w:r w:rsidR="007E1897">
        <w:rPr>
          <w:lang w:val="en-GB"/>
        </w:rPr>
        <w:t>independent samples t-tests</w:t>
      </w:r>
      <w:r w:rsidR="003B41CD">
        <w:rPr>
          <w:lang w:val="en-GB"/>
        </w:rPr>
        <w:t xml:space="preserve">, </w:t>
      </w:r>
      <w:r w:rsidR="00EF1377">
        <w:rPr>
          <w:lang w:val="en-GB"/>
        </w:rPr>
        <w:t>or</w:t>
      </w:r>
      <w:r w:rsidR="003B41CD">
        <w:rPr>
          <w:lang w:val="en-GB"/>
        </w:rPr>
        <w:t xml:space="preserve"> one-way ANOVAs</w:t>
      </w:r>
      <w:r w:rsidR="00A26E77">
        <w:rPr>
          <w:lang w:val="en-GB"/>
        </w:rPr>
        <w:t>)</w:t>
      </w:r>
      <w:r w:rsidR="00002AE7" w:rsidRPr="00577052">
        <w:rPr>
          <w:lang w:val="en-GB"/>
        </w:rPr>
        <w:t>.</w:t>
      </w:r>
    </w:p>
    <w:p w14:paraId="3D0E87E6" w14:textId="4C2B5E7C" w:rsidR="00B142D1" w:rsidRDefault="00D60C40" w:rsidP="001F4641">
      <w:pPr>
        <w:spacing w:line="480" w:lineRule="auto"/>
        <w:ind w:firstLine="567"/>
        <w:contextualSpacing/>
        <w:rPr>
          <w:lang w:val="en-GB"/>
        </w:rPr>
      </w:pPr>
      <w:r w:rsidRPr="00577052">
        <w:rPr>
          <w:lang w:val="en-GB"/>
        </w:rPr>
        <w:t xml:space="preserve">Since depressive and anxious symptoms were found to be strongly associated with </w:t>
      </w:r>
      <w:r>
        <w:rPr>
          <w:lang w:val="en-GB"/>
        </w:rPr>
        <w:t>SCCs</w:t>
      </w:r>
      <w:r w:rsidRPr="00577052">
        <w:rPr>
          <w:lang w:val="en-GB"/>
        </w:rPr>
        <w:t xml:space="preserve"> </w:t>
      </w:r>
      <w:r w:rsidRPr="00577052">
        <w:rPr>
          <w:lang w:val="en-GB"/>
        </w:rPr>
        <w:fldChar w:fldCharType="begin" w:fldLock="1"/>
      </w:r>
      <w:r>
        <w:rPr>
          <w:lang w:val="en-GB"/>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Disease","type":"article-journal","volume":"13"},"uris":["http://www.mendeley.com/documents/?uuid=7dcbe897-3cdc-4e87-9d81-1eb7c8d16362"]},{"id":"ITEM-2","itemData":{"DOI":"10.1016/j.jalz.2016.09.012","ISSN":"15525279","PMID":"27825022","abstract":"Introduction Subjective cognitive decline (SCD) manifesting before clinical impairment could serve as a target population for early intervention trials in Alzheimer's disease (AD). A working group, the Subjective Cognitive Decline Initiative (SCD-I), published SCD research criteria in the context of preclinical AD. To successfully apply them, a number of issues regarding assessment and implementation of SCD needed to be addressed. Methods Members of the SCD-I met to identify and agree on topics relevant to SCD criteria operationalization in research settings. Initial ideas and recommendations were discussed with other SCD-I working group members and modified accordingly. Results Topics included SCD inclusion and exclusion criteria, together with the informant's role in defining SCD presence and the impact of demographic factors. Discussion Recommendations for the operationalization of SCD in differing research settings, with the aim of harmonization of SCD measurement across studies are proposed, to enhance comparability and generalizability across studies.","author":[{"dropping-particle":"","family":"Molinuevo","given":"José L.","non-dropping-particle":"","parse-names":false,"suffix":""},{"dropping-particle":"","family":"Rabin","given":"Laura A.","non-dropping-particle":"","parse-names":false,"suffix":""},{"dropping-particle":"","family":"Amariglio","given":"Rebecca","non-dropping-particle":"","parse-names":false,"suffix":""},{"dropping-particle":"","family":"Buckley","given":"Rachel","non-dropping-particle":"","parse-names":false,"suffix":""},{"dropping-particle":"","family":"Dubois","given":"Bruno","non-dropping-particle":"","parse-names":false,"suffix":""},{"dropping-particle":"","family":"Ellis","given":"Kathryn A.","non-dropping-particle":"","parse-names":false,"suffix":""},{"dropping-particle":"","family":"Ewers","given":"Michael","non-dropping-particle":"","parse-names":false,"suffix":""},{"dropping-particle":"","family":"Hampel","given":"Harald","non-dropping-particle":"","parse-names":false,"suffix":""},{"dropping-particle":"","family":"Klöppel","given":"Stefan","non-dropping-particle":"","parse-names":false,"suffix":""},{"dropping-particle":"","family":"Rami","given":"Lorena","non-dropping-particle":"","parse-names":false,"suffix":""},{"dropping-particle":"","family":"Reisberg","given":"Barry","non-dropping-particle":"","parse-names":false,"suffix":""},{"dropping-particle":"","family":"Saykin","given":"Andrew J.","non-dropping-particle":"","parse-names":false,"suffix":""},{"dropping-particle":"","family":"Sikkes","given":"Sietske","non-dropping-particle":"","parse-names":false,"suffix":""},{"dropping-particle":"","family":"Smart","given":"Colette M.","non-dropping-particle":"","parse-names":false,"suffix":""},{"dropping-particle":"","family":"Snitz","given":"Beth E.","non-dropping-particle":"","parse-names":false,"suffix":""},{"dropping-particle":"","family":"Sperling","given":"Reisa","non-dropping-particle":"","parse-names":false,"suffix":""},{"dropping-particle":"","family":"Flier","given":"Wiesje M.","non-dropping-particle":"van der","parse-names":false,"suffix":""},{"dropping-particle":"","family":"Wagner","given":"Michael","non-dropping-particle":"","parse-names":false,"suffix":""},{"dropping-particle":"","family":"Jessen","given":"Frank","non-dropping-particle":"","parse-names":false,"suffix":""}],"container-title":"Alzheimer's and Dementia","id":"ITEM-2","issue":"3","issued":{"date-parts":[["2017"]]},"page":"296-311","title":"Implementation of subjective cognitive decline criteria in research studies","type":"article-journal","volume":"13"},"uris":["http://www.mendeley.com/documents/?uuid=45fca05d-b9c1-447b-997a-e4125282fa2e"]},{"id":"ITEM-3","itemData":{"DOI":"10.1016/j.jalz.2014.01.001","ISSN":"15525279","PMID":"24798886","abstract":"There is increasing evidence that subjective cognitive decline (SCD) in individuals with unimpaired performance on cognitive tests may represent the first symptomatic manifestation of Alzheimer's disease (AD). The research on SCD in early AD, however, is limited by the absence of common standards. The working group of the Subjective Cognitive Decline Initiative (SCD-I) addressed this deficiency by reaching consensus on terminology and on a conceptual framework for research on SCD in AD. In this publication, research criteria for SCD in pre-mild cognitive impairment (MCI) are presented. In addition, a list of core features proposed for reporting in SCD studies is provided, which will enable comparability of research across different settings. Finally, a set of features is presented, which in accordance with current knowledge, increases the likelihood of the presence of preclinical AD in individuals with SCD. This list is referred to as SCD plus.","author":[{"dropping-particle":"","family":"Jessen","given":"Frank","non-dropping-particle":"","parse-names":false,"suffix":""},{"dropping-particle":"","family":"Amariglio","given":"Rebecca E.","non-dropping-particle":"","parse-names":false,"suffix":""},{"dropping-particle":"","family":"Boxtel","given":"Martin","non-dropping-particle":"Van","parse-names":false,"suffix":""},{"dropping-particle":"","family":"Breteler","given":"Monique","non-dropping-particle":"","parse-names":false,"suffix":""},{"dropping-particle":"","family":"Ceccaldi","given":"Mathieu","non-dropping-particle":"","parse-names":false,"suffix":""},{"dropping-particle":"","family":"Chételat","given":"Gaël","non-dropping-particle":"","parse-names":false,"suffix":""},{"dropping-particle":"","family":"Dubois","given":"Bruno","non-dropping-particle":"","parse-names":false,"suffix":""},{"dropping-particle":"","family":"Dufouil","given":"Carole","non-dropping-particle":"","parse-names":false,"suffix":""},{"dropping-particle":"","family":"Ellis","given":"Kathryn A.","non-dropping-particle":"","parse-names":false,"suffix":""},{"dropping-particle":"","family":"Flier","given":"Wiesje M.","non-dropping-particle":"Van Der","parse-names":false,"suffix":""},{"dropping-particle":"","family":"Glodzik","given":"Lidia","non-dropping-particle":"","parse-names":false,"suffix":""},{"dropping-particle":"","family":"Harten","given":"Argonde C.","non-dropping-particle":"Van","parse-names":false,"suffix":""},{"dropping-particle":"","family":"Leon","given":"Mony J.","non-dropping-particle":"De","parse-names":false,"suffix":""},{"dropping-particle":"","family":"McHugh","given":"Pauline","non-dropping-particle":"","parse-names":false,"suffix":""},{"dropping-particle":"","family":"Mielke","given":"Michelle M.","non-dropping-particle":"","parse-names":false,"suffix":""},{"dropping-particle":"","family":"Molinuevo","given":"Jose Luis","non-dropping-particle":"","parse-names":false,"suffix":""},{"dropping-particle":"","family":"Mosconi","given":"Lisa","non-dropping-particle":"","parse-names":false,"suffix":""},{"dropping-particle":"","family":"Osorio","given":"Ricardo S.","non-dropping-particle":"","parse-names":false,"suffix":""},{"dropping-particle":"","family":"Perrotin","given":"Audrey","non-dropping-particle":"","parse-names":false,"suffix":""},{"dropping-particle":"","family":"Petersen","given":"Ronald C.","non-dropping-particle":"","parse-names":false,"suffix":""},{"dropping-particle":"","family":"Rabin","given":"Laura A.","non-dropping-particle":"","parse-names":false,"suffix":""},{"dropping-particle":"","family":"Rami","given":"Lorena","non-dropping-particle":"","parse-names":false,"suffix":""},{"dropping-particle":"","family":"Reisberg","given":"Barry","non-dropping-particle":"","parse-names":false,"suffix":""},{"dropping-particle":"","family":"Rentz","given":"Dorene M.","non-dropping-particle":"","parse-names":false,"suffix":""},{"dropping-particle":"","family":"Sachdev","given":"Perminder S.","non-dropping-particle":"","parse-names":false,"suffix":""},{"dropping-particle":"","family":"La Sayette","given":"Vincent","non-dropping-particle":"De","parse-names":false,"suffix":""},{"dropping-particle":"","family":"Saykin","given":"Andrew J.","non-dropping-particle":"","parse-names":false,"suffix":""},{"dropping-particle":"","family":"Scheltens","given":"Philip","non-dropping-particle":"","parse-names":false,"suffix":""},{"dropping-particle":"","family":"Shulman","given":"Melanie B.","non-dropping-particle":"","parse-names":false,"suffix":""},{"dropping-particle":"","family":"Slavin","given":"Melissa J.","non-dropping-particle":"","parse-names":false,"suffix":""},{"dropping-particle":"","family":"Sperling","given":"Reisa A.","non-dropping-particle":"","parse-names":false,"suffix":""},{"dropping-particle":"","family":"Stewart","given":"Robert","non-dropping-particle":"","parse-names":false,"suffix":""},{"dropping-particle":"","family":"Uspenskaya","given":"Olga","non-dropping-particle":"","parse-names":false,"suffix":""},{"dropping-particle":"","family":"Vellas","given":"Bruno","non-dropping-particle":"","parse-names":false,"suffix":""},{"dropping-particle":"","family":"Visser","given":"Pieter Jelle","non-dropping-particle":"","parse-names":false,"suffix":""},{"dropping-particle":"","family":"Wagner","given":"Michael","non-dropping-particle":"","parse-names":false,"suffix":""}],"container-title":"Alzheimer's and Dementia","id":"ITEM-3","issue":"6","issued":{"date-parts":[["2014"]]},"page":"844-852","title":"A conceptual framework for research on subjective cognitive decline in preclinical Alzheimer's disease","type":"article-journal","volume":"10"},"uris":["http://www.mendeley.com/documents/?uuid=eed3f943-fa8b-47db-8ced-e2927201b20a"]},{"id":"ITEM-4","itemData":{"DOI":"10.1016/S1474-4422(19)30368-0","ISSN":"14744465","PMID":"31958406","abstract":"A growing awareness about brain health and Alzheimer's disease in the general population is leading to an increasing number of cognitively unimpaired individuals, who are concerned that they have reduced cognitive function, to approach the medical system for help. The term subjective cognitive decline (SCD) was conceived in 2014 to describe this condition. Epidemiological data provide evidence that the risk for mild cognitive impairment and dementia is increased in individuals with SCD. However, the majority of individuals with SCD will not show progressive cognitive decline. An individually tailored diagnostic process might be reasonable to identify or exclude underlying medical conditions in an individual with SCD who actively seeks medical help. An increasing number of studies are investigating the link between SCD and the very early stages of Alzheimer's disease and other neurodegenerative diseases.","author":[{"dropping-particle":"","family":"Jessen","given":"Frank","non-dropping-particle":"","parse-names":false,"suffix":""},{"dropping-particle":"","family":"Amariglio","given":"Rebecca E.","non-dropping-particle":"","parse-names":false,"suffix":""},{"dropping-particle":"","family":"Buckley","given":"Rachel F.","non-dropping-particle":"","parse-names":false,"suffix":""},{"dropping-particle":"","family":"Flier","given":"Wiesje M.","non-dropping-particle":"van der","parse-names":false,"suffix":""},{"dropping-particle":"","family":"Han","given":"Ying","non-dropping-particle":"","parse-names":false,"suffix":""},{"dropping-particle":"","family":"Molinuevo","given":"José Luis","non-dropping-particle":"","parse-names":false,"suffix":""},{"dropping-particle":"","family":"Rabin","given":"Laura","non-dropping-particle":"","parse-names":false,"suffix":""},{"dropping-particle":"","family":"Rentz","given":"Dorene M.","non-dropping-particle":"","parse-names":false,"suffix":""},{"dropping-particle":"","family":"Rodriguez-Gomez","given":"Octavio","non-dropping-particle":"","parse-names":false,"suffix":""},{"dropping-particle":"","family":"Saykin","given":"Andrew J.","non-dropping-particle":"","parse-names":false,"suffix":""},{"dropping-particle":"","family":"Sikkes","given":"Sietske A.M.","non-dropping-particle":"","parse-names":false,"suffix":""},{"dropping-particle":"","family":"Smart","given":"Colette M.","non-dropping-particle":"","parse-names":false,"suffix":""},{"dropping-particle":"","family":"Wolfsgruber","given":"Steffen","non-dropping-particle":"","parse-names":false,"suffix":""},{"dropping-particle":"","family":"Wagner","given":"Michael","non-dropping-particle":"","parse-names":false,"suffix":""}],"container-title":"The Lancet Neurology","id":"ITEM-4","issue":"3","issued":{"date-parts":[["2020"]]},"page":"271-278","title":"The characterisation of subjective cognitive decline","type":"article-journal","volume":"19"},"uris":["http://www.mendeley.com/documents/?uuid=059d808a-f397-46bb-8d3c-4ff56ed15536"]}],"mendeley":{"formattedCitation":"(Jessen et al., 2014, 2020; Molinuevo et al., 2017; Rabin et al., 2017)","plainTextFormattedCitation":"(Jessen et al., 2014, 2020; Molinuevo et al., 2017; Rabin et al., 2017)","previouslyFormattedCitation":"(Jessen et al., 2014, 2020; Molinuevo et al., 2017; Rabin et al., 2017)"},"properties":{"noteIndex":0},"schema":"https://github.com/citation-style-language/schema/raw/master/csl-citation.json"}</w:instrText>
      </w:r>
      <w:r w:rsidRPr="00577052">
        <w:rPr>
          <w:lang w:val="en-GB"/>
        </w:rPr>
        <w:fldChar w:fldCharType="separate"/>
      </w:r>
      <w:r w:rsidRPr="007D6381">
        <w:rPr>
          <w:noProof/>
          <w:lang w:val="en-GB"/>
        </w:rPr>
        <w:t>(Jessen et al., 2014, 2020; Molinuevo et al., 2017; Rabin et al., 2017)</w:t>
      </w:r>
      <w:r w:rsidRPr="00577052">
        <w:rPr>
          <w:lang w:val="en-GB"/>
        </w:rPr>
        <w:fldChar w:fldCharType="end"/>
      </w:r>
      <w:r w:rsidRPr="00577052">
        <w:rPr>
          <w:lang w:val="en-GB"/>
        </w:rPr>
        <w:t xml:space="preserve"> and </w:t>
      </w:r>
      <w:r>
        <w:rPr>
          <w:lang w:val="en-GB"/>
        </w:rPr>
        <w:t>were</w:t>
      </w:r>
      <w:r w:rsidRPr="00577052">
        <w:rPr>
          <w:lang w:val="en-GB"/>
        </w:rPr>
        <w:t xml:space="preserve"> also </w:t>
      </w:r>
      <w:r w:rsidR="00683134">
        <w:rPr>
          <w:lang w:val="en-GB"/>
        </w:rPr>
        <w:t xml:space="preserve">considered as </w:t>
      </w:r>
      <w:r w:rsidR="00FE6003">
        <w:rPr>
          <w:lang w:val="en-GB"/>
        </w:rPr>
        <w:t>important predictors</w:t>
      </w:r>
      <w:r>
        <w:rPr>
          <w:lang w:val="en-GB"/>
        </w:rPr>
        <w:t xml:space="preserve"> </w:t>
      </w:r>
      <w:r w:rsidR="00683134">
        <w:rPr>
          <w:lang w:val="en-GB"/>
        </w:rPr>
        <w:t xml:space="preserve">of </w:t>
      </w:r>
      <w:r w:rsidRPr="00577052">
        <w:rPr>
          <w:lang w:val="en-GB"/>
        </w:rPr>
        <w:t xml:space="preserve">self-efficacy </w:t>
      </w:r>
      <w:r w:rsidRPr="00577052">
        <w:rPr>
          <w:lang w:val="en-GB"/>
        </w:rPr>
        <w:fldChar w:fldCharType="begin" w:fldLock="1"/>
      </w:r>
      <w:r>
        <w:rPr>
          <w:lang w:val="en-GB"/>
        </w:rPr>
        <w:instrText>ADDIN CSL_CITATION {"citationItems":[{"id":"ITEM-1","itemData":{"DOI":"10.1371/journal.pone.0204219","ISBN":"1111111111","ISSN":"19326203","PMID":"30265697","abstract":"Objective Estimates indicate that 20–70% of renal transplant recipients are medication non-adherent, significantly increasing the risk of organ rejection. Medication adherence is negatively impacted by lower everyday problem solving ability, and associations between depressive symptoms, self-efficacy, and adherence are reported in renal transplant recipients. Nonetheless, to date, these associations have not been examined concurrently. Given the relationship between non-adherence and organ rejection, it is critical to gain a better understanding of the predictors of adherence in renal transplant recipients. To this end, we modeled relationships among cognitive abilities, depressive symptoms, self-efficacy, and adherence in this group. Methods Participants (N = 211) underwent renal transplant at least one year prior to participation. Adherence was measured via self-report, medication possession ratio, and immunosuppressant blood-level. Traditionally-measured neurocognitive and everyday problem-solving abilities were assessed. Depressive symptoms were measured via self-report, as were general and medication adherence related self-efficacy. Structural equation modeling was used to assess the fit of the model to available data. Results Everyday problem solving and self-efficacy had direct positive associations with adherence. Depressive symptoms were negatively associated with self-efficacy, but not adherence. Traditionally-measured neurocognitive abilities were positively associated with self-efficacy, and negatively associated with depressive symptoms. Conclusions We present a comprehensive investigation of relationships between cognitive and psychosocial factors and adherence in medically stable renal transplant recipients. Findings confirm the importance of everyday problem solving and self-efficacy in predicting adherence and suggest that influences of depressive symptoms and neurocognitive abilities are indirect. Findings have important implications for future development of interventions to improve medication adherence in renal transplant recipients.","author":[{"dropping-particle":"","family":"Paterson","given":"Theone S. E.","non-dropping-particle":"","parse-names":false,"suffix":""},{"dropping-particle":"","family":"O’Rourke","given":"Norm","non-dropping-particle":"","parse-names":false,"suffix":""},{"dropping-particle":"","family":"Jean Shapiro","given":"R.","non-dropping-particle":"","parse-names":false,"suffix":""},{"dropping-particle":"","family":"Thornton","given":"Wendy Loken","non-dropping-particle":"","parse-names":false,"suffix":""}],"container-title":"PLoS ONE","id":"ITEM-1","issue":"9","issued":{"date-parts":[["2018"]]},"page":"e0204219","title":"Medication adherence in renal transplant recipients: A latent variable model of psychosocial and neurocognitive predictors","type":"article-journal","volume":"13"},"uris":["http://www.mendeley.com/documents/?uuid=6547c237-ea40-46e2-a4ec-4d0f4e0e61b6"]}],"mendeley":{"formattedCitation":"(Paterson et al., 2018)","plainTextFormattedCitation":"(Paterson et al., 2018)","previouslyFormattedCitation":"(Paterson et al., 2018)"},"properties":{"noteIndex":0},"schema":"https://github.com/citation-style-language/schema/raw/master/csl-citation.json"}</w:instrText>
      </w:r>
      <w:r w:rsidRPr="00577052">
        <w:rPr>
          <w:lang w:val="en-GB"/>
        </w:rPr>
        <w:fldChar w:fldCharType="separate"/>
      </w:r>
      <w:r w:rsidRPr="007D6381">
        <w:rPr>
          <w:noProof/>
          <w:lang w:val="en-GB"/>
        </w:rPr>
        <w:t>(Paterson et al., 2018)</w:t>
      </w:r>
      <w:r w:rsidRPr="00577052">
        <w:rPr>
          <w:lang w:val="en-GB"/>
        </w:rPr>
        <w:fldChar w:fldCharType="end"/>
      </w:r>
      <w:r w:rsidRPr="00577052">
        <w:rPr>
          <w:lang w:val="en-GB"/>
        </w:rPr>
        <w:t xml:space="preserve"> and adherence </w:t>
      </w:r>
      <w:r w:rsidRPr="00577052">
        <w:rPr>
          <w:lang w:val="en-GB"/>
        </w:rPr>
        <w:fldChar w:fldCharType="begin" w:fldLock="1"/>
      </w:r>
      <w:r>
        <w:rPr>
          <w:lang w:val="en-GB"/>
        </w:rPr>
        <w:instrText>ADDIN CSL_CITATION {"citationItems":[{"id":"ITEM-1","itemData":{"DOI":"10.1371/journal.pone.0144119","ISSN":"19326203","PMID":"26636968","abstract":"Background End-stage kidney disease (ESKD) patients are often prescribed multiple medications. Together with a demanding weekly schedule of dialysis sessions, increased number of medicines and associated regimen complexity pre-dispose them at high risk of medication nonadherence. This review summarizes existing literature on nonadherence and identifies factors associated with nonadherence to medication therapy in patients undergoing haemodialysis. Methods A comprehensive search of PubMed, Embase, CINAHL, PsycInfo, and Cochrane Database of Systematic Reviews covering the period from 1970 through November 2014 was performed following a predefined inclusion and exclusion criteria. Reference lists from relevant materials were reviewed. Data on study characteristics, measures of nonadherence, prevalence rates and factors associated with nonadherence were collected. The Preferred Reporting Items for Systematic Reviews and Meta-analyses (PRISMA) guidelines was followed in conducting this systematic review. Results Of 920 relevant publications, 44 were included. The prevalence of medication nonadherence varied from 12.5%to 98.6%, with widespread heterogeneity in measures and definitions employed. Most common patient-related factors significantly associated with nonadherence were younger age, non-Caucasian ethnicity, illness interfering family life, being a smoker, and living single and being divorced or widowed. Similarly, disease-related factors include longevity of haemodialysis, recurrent hospitalization, depressive symptoms and having concomitant illness like diabetes and hypertension. Medication-related factors such as daily tablet count, total pill burden, number of phosphate binders prescribed and complexity of medication regimen were also associated with poor adherence. Conclusions A number of patient-, disease-, and medication-related factors are associated with medication nonadherence in haemodialysis patients. Clinicians should be aware of such factors so that adherence to medications can be optimised in haemodialysis patients. Future research should be directed towards well-designed prospective longitudinal studies developing standard definitions and validating available measurement tools, while focusing on the role of additional factors such as psychosocial and behavioural factors in predicting nonadherence to medications.","author":[{"dropping-particle":"","family":"Ghimire","given":"Saurav","non-dropping-particle":"","parse-names":false,"suffix":""},{"dropping-particle":"","family":"Castelino","given":"Ronald L.","non-dropping-particle":"","parse-names":false,"suffix":""},{"dropping-particle":"","family":"Lioufas","given":"Nicole M.","non-dropping-particle":"","parse-names":false,"suffix":""},{"dropping-particle":"","family":"Peterson","given":"Gregory M.","non-dropping-particle":"","parse-names":false,"suffix":""},{"dropping-particle":"","family":"Zaidi","given":"Syed Tabish R.","non-dropping-particle":"","parse-names":false,"suffix":""}],"container-title":"PLoS ONE","id":"ITEM-1","issue":"12","issued":{"date-parts":[["2015"]]},"page":"e0144119","title":"Nonadherence to medication therapy in haemodialysis patients: A systematic review","type":"article-journal","volume":"10"},"uris":["http://www.mendeley.com/documents/?uuid=dac080b1-9c3f-4510-b5d4-d37168e8ff75"]},{"id":"ITEM-2","itemData":{"DOI":"10.1111/sdi.12159","ISSN":"08940959","PMID":"24164416","abstract":"Nonadherence to aspects of the management of End-Stage Kidney Disease (ESKD) is common. Estimates of nonadherence vary with assessment method. Whilst readily available and free from report bias, physiological proxies-frequently used as measures of adherence-are often confounded by clinical factors including residual kidney function and dialysis adequacy. Despite variation in estimates of its prevalence, it is clear that suboptimal adherence to dialysis prescriptions, medication and diet can lead to adverse clinical outcomes. Several factors can help explain nonadherence in ESKD including mood, self-efficacy, social support, illness, and treatment perceptions. Psychological interventions have been shown to improve ESKD adherence, yet achieving long-term behavior change remains challenging. Identifying individuals who struggle to adhere to aspects of the dialysis regime, and tailoring theory-led interventions to improve and support adherence is a clear clinical need requiring further empirical enquiry. © 2013 Wiley Periodicals, Inc.","author":[{"dropping-particle":"","family":"Clark","given":"Sarah","non-dropping-particle":"","parse-names":false,"suffix":""},{"dropping-particle":"","family":"Farrington","given":"Ken","non-dropping-particle":"","parse-names":false,"suffix":""},{"dropping-particle":"","family":"Chilcot","given":"Joseph","non-dropping-particle":"","parse-names":false,"suffix":""}],"container-title":"Seminars in Dialysis","id":"ITEM-2","issue":"1","issued":{"date-parts":[["2014"]]},"page":"42-49","title":"Nonadherence in dialysis patients: Prevalence, measurement, outcome, and psychological determinants","type":"article-journal","volume":"27"},"uris":["http://www.mendeley.com/documents/?uuid=c416ce4a-b161-4dda-ab79-bebca0518115"]}],"mendeley":{"formattedCitation":"(Clark et al., 2014; Ghimire et al., 2015)","plainTextFormattedCitation":"(Clark et al., 2014; Ghimire et al., 2015)","previouslyFormattedCitation":"(Clark et al., 2014; Ghimire et al., 2015)"},"properties":{"noteIndex":0},"schema":"https://github.com/citation-style-language/schema/raw/master/csl-citation.json"}</w:instrText>
      </w:r>
      <w:r w:rsidRPr="00577052">
        <w:rPr>
          <w:lang w:val="en-GB"/>
        </w:rPr>
        <w:fldChar w:fldCharType="separate"/>
      </w:r>
      <w:r w:rsidRPr="007D6381">
        <w:rPr>
          <w:noProof/>
          <w:lang w:val="en-GB"/>
        </w:rPr>
        <w:t>(Clark et al., 2014; Ghimire et al., 2015)</w:t>
      </w:r>
      <w:r w:rsidRPr="00577052">
        <w:rPr>
          <w:lang w:val="en-GB"/>
        </w:rPr>
        <w:fldChar w:fldCharType="end"/>
      </w:r>
      <w:r w:rsidRPr="00577052">
        <w:rPr>
          <w:lang w:val="en-GB"/>
        </w:rPr>
        <w:t xml:space="preserve">, </w:t>
      </w:r>
      <w:r>
        <w:rPr>
          <w:lang w:val="en-GB"/>
        </w:rPr>
        <w:t xml:space="preserve">it is possible that </w:t>
      </w:r>
      <w:r w:rsidR="0011140B">
        <w:rPr>
          <w:lang w:val="en-GB"/>
        </w:rPr>
        <w:t>any association</w:t>
      </w:r>
      <w:r>
        <w:rPr>
          <w:lang w:val="en-GB"/>
        </w:rPr>
        <w:t xml:space="preserve"> </w:t>
      </w:r>
      <w:r w:rsidR="0011140B">
        <w:rPr>
          <w:lang w:val="en-GB"/>
        </w:rPr>
        <w:t>between SCCs and patient outcomes that emerged from our analyses</w:t>
      </w:r>
      <w:r>
        <w:rPr>
          <w:lang w:val="en-GB"/>
        </w:rPr>
        <w:t xml:space="preserve"> is </w:t>
      </w:r>
      <w:r w:rsidR="0011140B">
        <w:rPr>
          <w:lang w:val="en-GB"/>
        </w:rPr>
        <w:t xml:space="preserve">mainly </w:t>
      </w:r>
      <w:r>
        <w:rPr>
          <w:lang w:val="en-GB"/>
        </w:rPr>
        <w:t>driven by mood symptoms.</w:t>
      </w:r>
      <w:r w:rsidR="00652F21">
        <w:rPr>
          <w:lang w:val="en-GB"/>
        </w:rPr>
        <w:t xml:space="preserve"> Therefore, </w:t>
      </w:r>
      <w:r w:rsidR="00A70F01">
        <w:rPr>
          <w:lang w:val="en-GB"/>
        </w:rPr>
        <w:t xml:space="preserve">as sensitivity </w:t>
      </w:r>
      <w:r w:rsidR="00482D7F">
        <w:rPr>
          <w:lang w:val="en-GB"/>
        </w:rPr>
        <w:t>analyses,</w:t>
      </w:r>
      <w:r w:rsidR="00A70F01">
        <w:rPr>
          <w:lang w:val="en-GB"/>
        </w:rPr>
        <w:t xml:space="preserve"> we </w:t>
      </w:r>
      <w:r w:rsidR="0077270E">
        <w:rPr>
          <w:lang w:val="en-GB"/>
        </w:rPr>
        <w:t>perform</w:t>
      </w:r>
      <w:r w:rsidR="00A70F01">
        <w:rPr>
          <w:lang w:val="en-GB"/>
        </w:rPr>
        <w:t>ed</w:t>
      </w:r>
      <w:r w:rsidR="0077270E">
        <w:rPr>
          <w:lang w:val="en-GB"/>
        </w:rPr>
        <w:t xml:space="preserve"> </w:t>
      </w:r>
      <w:r w:rsidR="00351DE9">
        <w:rPr>
          <w:lang w:val="en-GB"/>
        </w:rPr>
        <w:t>another</w:t>
      </w:r>
      <w:r w:rsidR="0077270E">
        <w:rPr>
          <w:lang w:val="en-GB"/>
        </w:rPr>
        <w:t xml:space="preserve"> series of </w:t>
      </w:r>
      <w:r w:rsidR="0077270E" w:rsidRPr="00577052">
        <w:rPr>
          <w:lang w:val="en-GB"/>
        </w:rPr>
        <w:t xml:space="preserve">4 (trajectory groups) </w:t>
      </w:r>
      <w:r w:rsidR="0077270E" w:rsidRPr="00577052">
        <w:rPr>
          <w:lang w:val="en-GB"/>
        </w:rPr>
        <w:sym w:font="Symbol" w:char="F0B4"/>
      </w:r>
      <w:r w:rsidR="0077270E" w:rsidRPr="00577052">
        <w:rPr>
          <w:lang w:val="en-GB"/>
        </w:rPr>
        <w:t xml:space="preserve"> 2 (time points) mixed ANOVAs </w:t>
      </w:r>
      <w:r w:rsidR="0077270E">
        <w:rPr>
          <w:lang w:val="en-GB"/>
        </w:rPr>
        <w:t>on</w:t>
      </w:r>
      <w:r w:rsidR="0077270E" w:rsidRPr="00577052">
        <w:rPr>
          <w:lang w:val="en-GB"/>
        </w:rPr>
        <w:t xml:space="preserve"> clinical outcomes (i.e., serum phosphorus, serum potassium, Ca </w:t>
      </w:r>
      <w:r w:rsidR="0077270E" w:rsidRPr="00577052">
        <w:rPr>
          <w:lang w:val="en-GB"/>
        </w:rPr>
        <w:sym w:font="Symbol" w:char="F0B4"/>
      </w:r>
      <w:r w:rsidR="0077270E" w:rsidRPr="00577052">
        <w:rPr>
          <w:lang w:val="en-GB"/>
        </w:rPr>
        <w:t xml:space="preserve"> PO4, and </w:t>
      </w:r>
      <w:proofErr w:type="spellStart"/>
      <w:r w:rsidR="0077270E" w:rsidRPr="00577052">
        <w:rPr>
          <w:lang w:val="en-GB"/>
        </w:rPr>
        <w:t>IDWGr</w:t>
      </w:r>
      <w:proofErr w:type="spellEnd"/>
      <w:r w:rsidR="0077270E" w:rsidRPr="00577052">
        <w:rPr>
          <w:lang w:val="en-GB"/>
        </w:rPr>
        <w:t xml:space="preserve">) and </w:t>
      </w:r>
      <w:r w:rsidR="0077270E">
        <w:rPr>
          <w:lang w:val="en-GB"/>
        </w:rPr>
        <w:t>health behaviour</w:t>
      </w:r>
      <w:r w:rsidR="0077270E" w:rsidRPr="00577052">
        <w:rPr>
          <w:lang w:val="en-GB"/>
        </w:rPr>
        <w:t xml:space="preserve"> outcomes (i.e., self-efficac</w:t>
      </w:r>
      <w:r w:rsidR="0077270E">
        <w:rPr>
          <w:lang w:val="en-GB"/>
        </w:rPr>
        <w:t>y</w:t>
      </w:r>
      <w:r w:rsidR="0077270E" w:rsidRPr="00577052">
        <w:rPr>
          <w:lang w:val="en-GB"/>
        </w:rPr>
        <w:t>, self-management skills, treatment adherence)</w:t>
      </w:r>
      <w:r w:rsidR="0077270E">
        <w:rPr>
          <w:lang w:val="en-GB"/>
        </w:rPr>
        <w:t xml:space="preserve"> </w:t>
      </w:r>
      <w:r w:rsidR="00FE6003">
        <w:rPr>
          <w:lang w:val="en-GB"/>
        </w:rPr>
        <w:t xml:space="preserve">while controlling </w:t>
      </w:r>
      <w:r w:rsidR="00FE6003" w:rsidRPr="00577052">
        <w:rPr>
          <w:lang w:val="en-GB"/>
        </w:rPr>
        <w:t>for mood.</w:t>
      </w:r>
    </w:p>
    <w:p w14:paraId="256BA9D1" w14:textId="5CC9248A" w:rsidR="00E31B68" w:rsidRPr="00577052" w:rsidRDefault="00E31B68" w:rsidP="00577052">
      <w:pPr>
        <w:spacing w:line="480" w:lineRule="auto"/>
        <w:contextualSpacing/>
        <w:jc w:val="center"/>
        <w:rPr>
          <w:b/>
          <w:bCs/>
          <w:lang w:val="en-GB"/>
        </w:rPr>
      </w:pPr>
      <w:r w:rsidRPr="00577052">
        <w:rPr>
          <w:b/>
          <w:bCs/>
          <w:lang w:val="en-GB"/>
        </w:rPr>
        <w:t>Results</w:t>
      </w:r>
    </w:p>
    <w:p w14:paraId="037073CB" w14:textId="77777777" w:rsidR="00237C52" w:rsidRPr="00577052" w:rsidRDefault="00237C52" w:rsidP="00577052">
      <w:pPr>
        <w:spacing w:line="480" w:lineRule="auto"/>
        <w:contextualSpacing/>
        <w:rPr>
          <w:b/>
          <w:bCs/>
          <w:lang w:val="en-GB"/>
        </w:rPr>
      </w:pPr>
      <w:r w:rsidRPr="00577052">
        <w:rPr>
          <w:b/>
          <w:bCs/>
          <w:lang w:val="en-GB"/>
        </w:rPr>
        <w:t>Sample characteristics</w:t>
      </w:r>
    </w:p>
    <w:p w14:paraId="1710598D" w14:textId="52828334" w:rsidR="00DF478A" w:rsidRDefault="00237C52" w:rsidP="00DF478A">
      <w:pPr>
        <w:spacing w:line="480" w:lineRule="auto"/>
        <w:contextualSpacing/>
        <w:rPr>
          <w:lang w:val="en-GB"/>
        </w:rPr>
      </w:pPr>
      <w:r w:rsidRPr="00577052">
        <w:rPr>
          <w:lang w:val="en-GB"/>
        </w:rPr>
        <w:lastRenderedPageBreak/>
        <w:t>Of the 1076 patients screened, 652 were eligible and 305 (46.</w:t>
      </w:r>
      <w:r w:rsidR="00950986" w:rsidRPr="00577052">
        <w:rPr>
          <w:lang w:val="en-GB"/>
        </w:rPr>
        <w:t>8</w:t>
      </w:r>
      <w:r w:rsidRPr="00577052">
        <w:rPr>
          <w:lang w:val="en-GB"/>
        </w:rPr>
        <w:t>%) provided consent</w:t>
      </w:r>
      <w:r w:rsidR="000675A9" w:rsidRPr="00577052">
        <w:rPr>
          <w:lang w:val="en-GB"/>
        </w:rPr>
        <w:t xml:space="preserve"> to participate</w:t>
      </w:r>
      <w:r w:rsidRPr="00577052">
        <w:rPr>
          <w:lang w:val="en-GB"/>
        </w:rPr>
        <w:t>.</w:t>
      </w:r>
      <w:r w:rsidR="002814D4" w:rsidRPr="00577052">
        <w:rPr>
          <w:lang w:val="en-GB"/>
        </w:rPr>
        <w:t xml:space="preserve"> Patients in the intervention arm of the randomised controlled trial</w:t>
      </w:r>
      <w:r w:rsidR="004D17BB" w:rsidRPr="00577052">
        <w:rPr>
          <w:lang w:val="en-GB"/>
        </w:rPr>
        <w:t xml:space="preserve"> were excluded from the present paper</w:t>
      </w:r>
      <w:r w:rsidR="0095723D" w:rsidRPr="00577052">
        <w:rPr>
          <w:lang w:val="en-GB"/>
        </w:rPr>
        <w:t xml:space="preserve">. </w:t>
      </w:r>
      <w:r w:rsidR="000A11BD" w:rsidRPr="00577052">
        <w:rPr>
          <w:lang w:val="en-GB"/>
        </w:rPr>
        <w:t xml:space="preserve">Within the </w:t>
      </w:r>
      <w:r w:rsidR="00FD5009" w:rsidRPr="00577052">
        <w:rPr>
          <w:lang w:val="en-GB"/>
        </w:rPr>
        <w:t xml:space="preserve">remaining </w:t>
      </w:r>
      <w:r w:rsidR="000A11BD" w:rsidRPr="00577052">
        <w:rPr>
          <w:lang w:val="en-GB"/>
        </w:rPr>
        <w:t xml:space="preserve">201 </w:t>
      </w:r>
      <w:r w:rsidR="00270958" w:rsidRPr="00577052">
        <w:rPr>
          <w:lang w:val="en-GB"/>
        </w:rPr>
        <w:t xml:space="preserve">patients, </w:t>
      </w:r>
      <w:r w:rsidR="002F36C6" w:rsidRPr="00577052">
        <w:rPr>
          <w:lang w:val="en-GB"/>
        </w:rPr>
        <w:t xml:space="preserve">42 (20.9%) dropped out after baseline. Therefore, only </w:t>
      </w:r>
      <w:r w:rsidR="00B83260" w:rsidRPr="00577052">
        <w:rPr>
          <w:lang w:val="en-GB"/>
        </w:rPr>
        <w:t xml:space="preserve">159 </w:t>
      </w:r>
      <w:r w:rsidR="001E7337" w:rsidRPr="00577052">
        <w:rPr>
          <w:lang w:val="en-GB"/>
        </w:rPr>
        <w:t xml:space="preserve">patients </w:t>
      </w:r>
      <w:r w:rsidR="00B10158" w:rsidRPr="00577052">
        <w:rPr>
          <w:lang w:val="en-GB"/>
        </w:rPr>
        <w:t xml:space="preserve">who </w:t>
      </w:r>
      <w:r w:rsidR="00B83260" w:rsidRPr="00577052">
        <w:rPr>
          <w:lang w:val="en-GB"/>
        </w:rPr>
        <w:t xml:space="preserve">completed both assessments </w:t>
      </w:r>
      <w:r w:rsidR="002F36C6" w:rsidRPr="00577052">
        <w:rPr>
          <w:lang w:val="en-GB"/>
        </w:rPr>
        <w:t>were included in the analyses.</w:t>
      </w:r>
      <w:r w:rsidR="00234F88" w:rsidRPr="00577052">
        <w:rPr>
          <w:lang w:val="en-GB"/>
        </w:rPr>
        <w:t xml:space="preserve"> The main reasons for dropout </w:t>
      </w:r>
      <w:r w:rsidR="00905688" w:rsidRPr="00577052">
        <w:rPr>
          <w:lang w:val="en-GB"/>
        </w:rPr>
        <w:t>were</w:t>
      </w:r>
      <w:r w:rsidR="00234F88" w:rsidRPr="00577052">
        <w:rPr>
          <w:lang w:val="en-GB"/>
        </w:rPr>
        <w:t xml:space="preserve"> lack of time or interest.</w:t>
      </w:r>
    </w:p>
    <w:p w14:paraId="4BE3272A" w14:textId="3AF02E42" w:rsidR="004A1A66" w:rsidRPr="00577052" w:rsidRDefault="00DF478A" w:rsidP="0073274C">
      <w:pPr>
        <w:spacing w:line="480" w:lineRule="auto"/>
        <w:ind w:firstLine="567"/>
        <w:contextualSpacing/>
        <w:rPr>
          <w:lang w:val="en-GB"/>
        </w:rPr>
      </w:pPr>
      <w:r>
        <w:rPr>
          <w:color w:val="2A2A2A"/>
          <w:shd w:val="clear" w:color="auto" w:fill="FFFFFF"/>
          <w:lang w:eastAsia="en-US"/>
        </w:rPr>
        <w:t xml:space="preserve">The majority of patients </w:t>
      </w:r>
      <w:r w:rsidRPr="005F409E">
        <w:rPr>
          <w:color w:val="2A2A2A"/>
          <w:shd w:val="clear" w:color="auto" w:fill="FFFFFF"/>
          <w:lang w:eastAsia="en-US"/>
        </w:rPr>
        <w:t xml:space="preserve">were </w:t>
      </w:r>
      <w:r>
        <w:rPr>
          <w:color w:val="2A2A2A"/>
          <w:shd w:val="clear" w:color="auto" w:fill="FFFFFF"/>
          <w:lang w:eastAsia="en-US"/>
        </w:rPr>
        <w:t xml:space="preserve">male (59.7%), of Chinese </w:t>
      </w:r>
      <w:r w:rsidRPr="005F409E">
        <w:rPr>
          <w:color w:val="2A2A2A"/>
          <w:shd w:val="clear" w:color="auto" w:fill="FFFFFF"/>
          <w:lang w:eastAsia="en-US"/>
        </w:rPr>
        <w:t>(</w:t>
      </w:r>
      <w:r w:rsidRPr="00577052">
        <w:rPr>
          <w:lang w:val="en-GB"/>
        </w:rPr>
        <w:t>50.6%</w:t>
      </w:r>
      <w:r>
        <w:rPr>
          <w:lang w:val="en-GB"/>
        </w:rPr>
        <w:t xml:space="preserve">) </w:t>
      </w:r>
      <w:r>
        <w:rPr>
          <w:color w:val="2A2A2A"/>
          <w:shd w:val="clear" w:color="auto" w:fill="FFFFFF"/>
          <w:lang w:eastAsia="en-US"/>
        </w:rPr>
        <w:t>or Malay (</w:t>
      </w:r>
      <w:r w:rsidRPr="00577052">
        <w:rPr>
          <w:lang w:val="en-GB"/>
        </w:rPr>
        <w:t>40.3%</w:t>
      </w:r>
      <w:r>
        <w:rPr>
          <w:lang w:val="en-GB"/>
        </w:rPr>
        <w:t xml:space="preserve">) </w:t>
      </w:r>
      <w:r>
        <w:rPr>
          <w:color w:val="2A2A2A"/>
          <w:shd w:val="clear" w:color="auto" w:fill="FFFFFF"/>
          <w:lang w:eastAsia="en-US"/>
        </w:rPr>
        <w:t>ancestry,</w:t>
      </w:r>
      <w:r w:rsidRPr="005F409E">
        <w:rPr>
          <w:color w:val="2A2A2A"/>
          <w:shd w:val="clear" w:color="auto" w:fill="FFFFFF"/>
          <w:lang w:eastAsia="en-US"/>
        </w:rPr>
        <w:t xml:space="preserve"> </w:t>
      </w:r>
      <w:r>
        <w:rPr>
          <w:color w:val="2A2A2A"/>
          <w:shd w:val="clear" w:color="auto" w:fill="FFFFFF"/>
          <w:lang w:eastAsia="en-US"/>
        </w:rPr>
        <w:t xml:space="preserve">received secondary education or lower (82.9%), were in a relationship (70.4%), unemployed (53.3%), </w:t>
      </w:r>
      <w:r w:rsidRPr="00251367">
        <w:rPr>
          <w:color w:val="2A2A2A"/>
          <w:shd w:val="clear" w:color="auto" w:fill="FFFFFF"/>
          <w:lang w:eastAsia="en-US"/>
        </w:rPr>
        <w:t xml:space="preserve">and reported a household income </w:t>
      </w:r>
      <w:r>
        <w:rPr>
          <w:color w:val="2A2A2A"/>
          <w:shd w:val="clear" w:color="auto" w:fill="FFFFFF"/>
          <w:lang w:eastAsia="en-US"/>
        </w:rPr>
        <w:t xml:space="preserve">lower than </w:t>
      </w:r>
      <w:r w:rsidRPr="00251367">
        <w:rPr>
          <w:color w:val="2A2A2A"/>
          <w:shd w:val="clear" w:color="auto" w:fill="FFFFFF"/>
          <w:lang w:eastAsia="en-US"/>
        </w:rPr>
        <w:t>S$2000 a month</w:t>
      </w:r>
      <w:r>
        <w:rPr>
          <w:color w:val="2A2A2A"/>
          <w:shd w:val="clear" w:color="auto" w:fill="FFFFFF"/>
          <w:lang w:eastAsia="en-US"/>
        </w:rPr>
        <w:t xml:space="preserve"> (55.6%)</w:t>
      </w:r>
      <w:r w:rsidRPr="00251367">
        <w:rPr>
          <w:color w:val="2A2A2A"/>
          <w:shd w:val="clear" w:color="auto" w:fill="FFFFFF"/>
          <w:lang w:eastAsia="en-US"/>
        </w:rPr>
        <w:t>.</w:t>
      </w:r>
      <w:r>
        <w:rPr>
          <w:color w:val="2A2A2A"/>
          <w:shd w:val="clear" w:color="auto" w:fill="FFFFFF"/>
          <w:lang w:eastAsia="en-US"/>
        </w:rPr>
        <w:t xml:space="preserve"> The mean duration of HD was 50.60 months.</w:t>
      </w:r>
      <w:r w:rsidR="005B63EA">
        <w:rPr>
          <w:color w:val="2A2A2A"/>
          <w:shd w:val="clear" w:color="auto" w:fill="FFFFFF"/>
          <w:lang w:eastAsia="en-US"/>
        </w:rPr>
        <w:t xml:space="preserve"> </w:t>
      </w:r>
      <w:r w:rsidR="00365D3E" w:rsidRPr="00577052">
        <w:rPr>
          <w:lang w:val="en-GB"/>
        </w:rPr>
        <w:t xml:space="preserve">Sociodemographic and clinical </w:t>
      </w:r>
      <w:r w:rsidR="00803837">
        <w:rPr>
          <w:lang w:val="en-GB"/>
        </w:rPr>
        <w:t>characteristics</w:t>
      </w:r>
      <w:r w:rsidR="00365D3E" w:rsidRPr="00577052">
        <w:rPr>
          <w:lang w:val="en-GB"/>
        </w:rPr>
        <w:t xml:space="preserve"> of the </w:t>
      </w:r>
      <w:r w:rsidR="008C05D7" w:rsidRPr="00577052">
        <w:rPr>
          <w:lang w:val="en-GB"/>
        </w:rPr>
        <w:t>159</w:t>
      </w:r>
      <w:r w:rsidR="00365D3E" w:rsidRPr="00577052">
        <w:rPr>
          <w:lang w:val="en-GB"/>
        </w:rPr>
        <w:t xml:space="preserve"> participants</w:t>
      </w:r>
      <w:r w:rsidR="00803837">
        <w:rPr>
          <w:lang w:val="en-GB"/>
        </w:rPr>
        <w:t xml:space="preserve"> </w:t>
      </w:r>
      <w:r w:rsidR="00365D3E" w:rsidRPr="00577052">
        <w:rPr>
          <w:lang w:val="en-GB"/>
        </w:rPr>
        <w:t>are presented in Table 1.</w:t>
      </w:r>
    </w:p>
    <w:p w14:paraId="2DD57122" w14:textId="1B2588E4" w:rsidR="005911F0" w:rsidRPr="00577052" w:rsidRDefault="00A171EB" w:rsidP="00577052">
      <w:pPr>
        <w:spacing w:line="480" w:lineRule="auto"/>
        <w:contextualSpacing/>
        <w:rPr>
          <w:b/>
          <w:bCs/>
          <w:lang w:val="en-GB"/>
        </w:rPr>
      </w:pPr>
      <w:r w:rsidRPr="00A171EB">
        <w:rPr>
          <w:b/>
          <w:bCs/>
          <w:lang w:val="en-GB"/>
        </w:rPr>
        <w:t>Overall</w:t>
      </w:r>
      <w:r w:rsidR="005911F0" w:rsidRPr="00A171EB">
        <w:rPr>
          <w:b/>
          <w:bCs/>
          <w:lang w:val="en-GB"/>
        </w:rPr>
        <w:t xml:space="preserve"> change in cognitive complaints over 12 months</w:t>
      </w:r>
    </w:p>
    <w:p w14:paraId="6A871D4E" w14:textId="77777777" w:rsidR="00536FE6" w:rsidRDefault="004A1A66" w:rsidP="00536FE6">
      <w:pPr>
        <w:spacing w:line="480" w:lineRule="auto"/>
        <w:contextualSpacing/>
        <w:rPr>
          <w:color w:val="2A2A2A"/>
          <w:shd w:val="clear" w:color="auto" w:fill="FFFFFF"/>
          <w:lang w:val="en-GB"/>
        </w:rPr>
      </w:pPr>
      <w:r w:rsidRPr="00251367">
        <w:rPr>
          <w:color w:val="2A2A2A"/>
          <w:shd w:val="clear" w:color="auto" w:fill="FFFFFF"/>
          <w:lang w:eastAsia="en-US"/>
        </w:rPr>
        <w:t xml:space="preserve">The average </w:t>
      </w:r>
      <w:r w:rsidRPr="00251367">
        <w:rPr>
          <w:lang w:val="en-GB"/>
        </w:rPr>
        <w:t xml:space="preserve">KDQOL-CF </w:t>
      </w:r>
      <w:r w:rsidRPr="00251367">
        <w:rPr>
          <w:color w:val="2A2A2A"/>
          <w:shd w:val="clear" w:color="auto" w:fill="FFFFFF"/>
          <w:lang w:eastAsia="en-US"/>
        </w:rPr>
        <w:t xml:space="preserve">score </w:t>
      </w:r>
      <w:r w:rsidR="000A7019">
        <w:rPr>
          <w:color w:val="2A2A2A"/>
          <w:shd w:val="clear" w:color="auto" w:fill="FFFFFF"/>
          <w:lang w:eastAsia="en-US"/>
        </w:rPr>
        <w:t xml:space="preserve">in the whole sample </w:t>
      </w:r>
      <w:r w:rsidRPr="00251367">
        <w:rPr>
          <w:color w:val="2A2A2A"/>
          <w:shd w:val="clear" w:color="auto" w:fill="FFFFFF"/>
          <w:lang w:eastAsia="en-US"/>
        </w:rPr>
        <w:t xml:space="preserve">was </w:t>
      </w:r>
      <w:r>
        <w:rPr>
          <w:color w:val="2A2A2A"/>
          <w:shd w:val="clear" w:color="auto" w:fill="FFFFFF"/>
          <w:lang w:eastAsia="en-US"/>
        </w:rPr>
        <w:t>70.</w:t>
      </w:r>
      <w:r w:rsidR="000A7019">
        <w:rPr>
          <w:color w:val="2A2A2A"/>
          <w:shd w:val="clear" w:color="auto" w:fill="FFFFFF"/>
          <w:lang w:eastAsia="en-US"/>
        </w:rPr>
        <w:t>38</w:t>
      </w:r>
      <w:r>
        <w:rPr>
          <w:color w:val="2A2A2A"/>
          <w:shd w:val="clear" w:color="auto" w:fill="FFFFFF"/>
          <w:lang w:eastAsia="en-US"/>
        </w:rPr>
        <w:t xml:space="preserve"> (SD = 22.</w:t>
      </w:r>
      <w:r w:rsidR="000A7019">
        <w:rPr>
          <w:color w:val="2A2A2A"/>
          <w:shd w:val="clear" w:color="auto" w:fill="FFFFFF"/>
          <w:lang w:eastAsia="en-US"/>
        </w:rPr>
        <w:t>26</w:t>
      </w:r>
      <w:r>
        <w:rPr>
          <w:color w:val="2A2A2A"/>
          <w:shd w:val="clear" w:color="auto" w:fill="FFFFFF"/>
          <w:lang w:eastAsia="en-US"/>
        </w:rPr>
        <w:t>)</w:t>
      </w:r>
      <w:r w:rsidR="000A7019">
        <w:rPr>
          <w:color w:val="2A2A2A"/>
          <w:shd w:val="clear" w:color="auto" w:fill="FFFFFF"/>
          <w:lang w:eastAsia="en-US"/>
        </w:rPr>
        <w:t xml:space="preserve"> at baseline and 68.72 (SD = 21.46) at follow-up</w:t>
      </w:r>
      <w:r w:rsidR="00415E5C">
        <w:rPr>
          <w:color w:val="2A2A2A"/>
          <w:shd w:val="clear" w:color="auto" w:fill="FFFFFF"/>
          <w:lang w:eastAsia="en-US"/>
        </w:rPr>
        <w:t>,</w:t>
      </w:r>
      <w:r>
        <w:rPr>
          <w:color w:val="2A2A2A"/>
          <w:shd w:val="clear" w:color="auto" w:fill="FFFFFF"/>
          <w:lang w:eastAsia="en-US"/>
        </w:rPr>
        <w:t xml:space="preserve"> which indicated that patients experienced SCCs from “a little of the time” to “some of the time” on average</w:t>
      </w:r>
      <w:r w:rsidR="00415E5C">
        <w:rPr>
          <w:color w:val="2A2A2A"/>
          <w:shd w:val="clear" w:color="auto" w:fill="FFFFFF"/>
          <w:lang w:eastAsia="en-US"/>
        </w:rPr>
        <w:t xml:space="preserve"> at both time points</w:t>
      </w:r>
      <w:r>
        <w:rPr>
          <w:color w:val="2A2A2A"/>
          <w:shd w:val="clear" w:color="auto" w:fill="FFFFFF"/>
          <w:lang w:eastAsia="en-US"/>
        </w:rPr>
        <w:t>.</w:t>
      </w:r>
      <w:r w:rsidR="00894CC2">
        <w:rPr>
          <w:color w:val="2A2A2A"/>
          <w:shd w:val="clear" w:color="auto" w:fill="FFFFFF"/>
          <w:lang w:eastAsia="en-US"/>
        </w:rPr>
        <w:t xml:space="preserve"> A paired-samples </w:t>
      </w:r>
      <w:r w:rsidR="00894CC2">
        <w:rPr>
          <w:color w:val="2A2A2A"/>
          <w:shd w:val="clear" w:color="auto" w:fill="FFFFFF"/>
          <w:lang w:val="en-GB"/>
        </w:rPr>
        <w:t>t-test revealed no significant difference in KDQOL-CF scores between the two time points</w:t>
      </w:r>
      <w:r w:rsidR="00C4524F">
        <w:rPr>
          <w:color w:val="2A2A2A"/>
          <w:shd w:val="clear" w:color="auto" w:fill="FFFFFF"/>
          <w:lang w:val="en-GB"/>
        </w:rPr>
        <w:t xml:space="preserve">, </w:t>
      </w:r>
      <w:r w:rsidR="00747D21" w:rsidRPr="001C4EE6">
        <w:rPr>
          <w:i/>
          <w:iCs/>
          <w:color w:val="2A2A2A"/>
          <w:shd w:val="clear" w:color="auto" w:fill="FFFFFF"/>
          <w:lang w:val="en-GB"/>
        </w:rPr>
        <w:t>t</w:t>
      </w:r>
      <w:r w:rsidR="00747D21">
        <w:rPr>
          <w:color w:val="2A2A2A"/>
          <w:shd w:val="clear" w:color="auto" w:fill="FFFFFF"/>
          <w:lang w:val="en-GB"/>
        </w:rPr>
        <w:t xml:space="preserve">(158) = 0.86, </w:t>
      </w:r>
      <w:r w:rsidR="00747D21" w:rsidRPr="001C4EE6">
        <w:rPr>
          <w:i/>
          <w:iCs/>
          <w:color w:val="2A2A2A"/>
          <w:shd w:val="clear" w:color="auto" w:fill="FFFFFF"/>
          <w:lang w:val="en-GB"/>
        </w:rPr>
        <w:t>p</w:t>
      </w:r>
      <w:r w:rsidR="00747D21">
        <w:rPr>
          <w:color w:val="2A2A2A"/>
          <w:shd w:val="clear" w:color="auto" w:fill="FFFFFF"/>
          <w:lang w:val="en-GB"/>
        </w:rPr>
        <w:t xml:space="preserve"> = .394, </w:t>
      </w:r>
      <w:r w:rsidR="00747D21" w:rsidRPr="001C4EE6">
        <w:rPr>
          <w:i/>
          <w:iCs/>
          <w:color w:val="2A2A2A"/>
          <w:shd w:val="clear" w:color="auto" w:fill="FFFFFF"/>
          <w:lang w:val="en-GB"/>
        </w:rPr>
        <w:t>d</w:t>
      </w:r>
      <w:r w:rsidR="00747D21">
        <w:rPr>
          <w:color w:val="2A2A2A"/>
          <w:shd w:val="clear" w:color="auto" w:fill="FFFFFF"/>
          <w:lang w:val="en-GB"/>
        </w:rPr>
        <w:t xml:space="preserve"> = 0.07</w:t>
      </w:r>
      <w:r w:rsidR="001C4EE6">
        <w:rPr>
          <w:color w:val="2A2A2A"/>
          <w:shd w:val="clear" w:color="auto" w:fill="FFFFFF"/>
          <w:lang w:val="en-GB"/>
        </w:rPr>
        <w:t>.</w:t>
      </w:r>
    </w:p>
    <w:p w14:paraId="31489D75" w14:textId="44B615CB" w:rsidR="006D33FE" w:rsidRPr="00B30859" w:rsidRDefault="00642776" w:rsidP="007A02FA">
      <w:pPr>
        <w:spacing w:line="480" w:lineRule="auto"/>
        <w:ind w:firstLine="567"/>
        <w:contextualSpacing/>
        <w:rPr>
          <w:color w:val="202124"/>
          <w:lang w:val="en-GB"/>
        </w:rPr>
      </w:pPr>
      <w:r>
        <w:rPr>
          <w:color w:val="2A2A2A"/>
          <w:shd w:val="clear" w:color="auto" w:fill="FFFFFF"/>
          <w:lang w:val="en-GB"/>
        </w:rPr>
        <w:t xml:space="preserve">Using the cut-off point of 60 on KDQOL-CF </w:t>
      </w:r>
      <w:r>
        <w:rPr>
          <w:color w:val="2A2A2A"/>
          <w:shd w:val="clear" w:color="auto" w:fill="FFFFFF"/>
          <w:lang w:eastAsia="en-US"/>
        </w:rPr>
        <w:fldChar w:fldCharType="begin" w:fldLock="1"/>
      </w:r>
      <w:r w:rsidR="00B1620D">
        <w:rPr>
          <w:color w:val="2A2A2A"/>
          <w:shd w:val="clear" w:color="auto" w:fill="FFFFFF"/>
          <w:lang w:eastAsia="en-US"/>
        </w:rPr>
        <w:instrText>ADDIN CSL_CITATION {"citationItems":[{"id":"ITEM-1","itemData":{"DOI":"10.1111/j.1523-1755.2004.66024.x","ISSN":"00852538","PMID":"15569327","abstract":"Background.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International","id":"ITEM-1","issued":{"date-parts":[["2004"]]},"page":"2361-2367","title":"Validation of the Kidney Disease Quality of Life (KDQOL) Cognitive Function subscale","type":"article-journal","volume":"66"},"uris":["http://www.mendeley.com/documents/?uuid=beb6443f-f5ae-4cf7-86fb-b02742370254"]}],"mendeley":{"formattedCitation":"(Kurella et al., 2004)","plainTextFormattedCitation":"(Kurella et al., 2004)","previouslyFormattedCitation":"(Kurella et al., 2004)"},"properties":{"noteIndex":0},"schema":"https://github.com/citation-style-language/schema/raw/master/csl-citation.json"}</w:instrText>
      </w:r>
      <w:r>
        <w:rPr>
          <w:color w:val="2A2A2A"/>
          <w:shd w:val="clear" w:color="auto" w:fill="FFFFFF"/>
          <w:lang w:eastAsia="en-US"/>
        </w:rPr>
        <w:fldChar w:fldCharType="separate"/>
      </w:r>
      <w:r w:rsidRPr="004A1A66">
        <w:rPr>
          <w:noProof/>
          <w:color w:val="2A2A2A"/>
          <w:shd w:val="clear" w:color="auto" w:fill="FFFFFF"/>
          <w:lang w:eastAsia="en-US"/>
        </w:rPr>
        <w:t>(Kurella et al., 2004)</w:t>
      </w:r>
      <w:r>
        <w:rPr>
          <w:color w:val="2A2A2A"/>
          <w:shd w:val="clear" w:color="auto" w:fill="FFFFFF"/>
          <w:lang w:eastAsia="en-US"/>
        </w:rPr>
        <w:fldChar w:fldCharType="end"/>
      </w:r>
      <w:r>
        <w:rPr>
          <w:color w:val="2A2A2A"/>
          <w:shd w:val="clear" w:color="auto" w:fill="FFFFFF"/>
          <w:lang w:eastAsia="en-US"/>
        </w:rPr>
        <w:t xml:space="preserve">, participants were classified into two groups </w:t>
      </w:r>
      <w:r w:rsidR="00536FE6">
        <w:rPr>
          <w:color w:val="2A2A2A"/>
          <w:shd w:val="clear" w:color="auto" w:fill="FFFFFF"/>
          <w:lang w:eastAsia="en-US"/>
        </w:rPr>
        <w:t xml:space="preserve">at both time points. </w:t>
      </w:r>
      <w:r w:rsidR="00536FE6" w:rsidRPr="00577052">
        <w:rPr>
          <w:color w:val="202124"/>
        </w:rPr>
        <w:t xml:space="preserve">Thirty-five patients (22.0%) were </w:t>
      </w:r>
      <w:r w:rsidR="00362F91">
        <w:rPr>
          <w:color w:val="202124"/>
        </w:rPr>
        <w:t>considered</w:t>
      </w:r>
      <w:r w:rsidR="00536FE6" w:rsidRPr="00577052">
        <w:rPr>
          <w:color w:val="202124"/>
        </w:rPr>
        <w:t xml:space="preserve"> to have probable CIs (i.e., scored below 60 on KDQOL-CF) at baseline.</w:t>
      </w:r>
      <w:r w:rsidR="00536FE6" w:rsidRPr="00536FE6">
        <w:rPr>
          <w:lang w:val="en-GB"/>
        </w:rPr>
        <w:t xml:space="preserve"> </w:t>
      </w:r>
      <w:r w:rsidR="00536FE6" w:rsidRPr="00577052">
        <w:rPr>
          <w:lang w:val="en-GB"/>
        </w:rPr>
        <w:t xml:space="preserve">Forty-two patients (26.4%) </w:t>
      </w:r>
      <w:r w:rsidR="00536FE6" w:rsidRPr="00577052">
        <w:rPr>
          <w:color w:val="202124"/>
        </w:rPr>
        <w:t>had probable CIs at follow-up.</w:t>
      </w:r>
      <w:r w:rsidR="007A02FA">
        <w:rPr>
          <w:color w:val="202124"/>
        </w:rPr>
        <w:t xml:space="preserve"> A</w:t>
      </w:r>
      <w:r w:rsidR="00BD0B8C" w:rsidRPr="00577052">
        <w:rPr>
          <w:color w:val="202124"/>
          <w:lang w:val="en-GB"/>
        </w:rPr>
        <w:t xml:space="preserve"> </w:t>
      </w:r>
      <w:r w:rsidR="007A02FA">
        <w:rPr>
          <w:color w:val="202124"/>
          <w:lang w:val="en-GB"/>
        </w:rPr>
        <w:t>C</w:t>
      </w:r>
      <w:r w:rsidR="00BD0B8C" w:rsidRPr="00577052">
        <w:rPr>
          <w:color w:val="202124"/>
          <w:lang w:val="en-GB"/>
        </w:rPr>
        <w:t xml:space="preserve">hi-squared test </w:t>
      </w:r>
      <w:r w:rsidR="007A02FA">
        <w:rPr>
          <w:color w:val="202124"/>
          <w:lang w:val="en-GB"/>
        </w:rPr>
        <w:t xml:space="preserve">between </w:t>
      </w:r>
      <w:r w:rsidR="00624726">
        <w:rPr>
          <w:color w:val="202124"/>
          <w:lang w:val="en-GB"/>
        </w:rPr>
        <w:t>baseline group</w:t>
      </w:r>
      <w:r w:rsidR="008F0C4D">
        <w:rPr>
          <w:color w:val="202124"/>
          <w:lang w:val="en-GB"/>
        </w:rPr>
        <w:t>ing</w:t>
      </w:r>
      <w:r w:rsidR="000F15BC" w:rsidRPr="00577052">
        <w:rPr>
          <w:color w:val="202124"/>
          <w:lang w:val="en-GB"/>
        </w:rPr>
        <w:t xml:space="preserve"> and </w:t>
      </w:r>
      <w:r w:rsidR="00624726">
        <w:rPr>
          <w:color w:val="202124"/>
          <w:lang w:val="en-GB"/>
        </w:rPr>
        <w:t>follow-up group</w:t>
      </w:r>
      <w:r w:rsidR="008F0C4D">
        <w:rPr>
          <w:color w:val="202124"/>
          <w:lang w:val="en-GB"/>
        </w:rPr>
        <w:t>ing</w:t>
      </w:r>
      <w:r w:rsidR="00624726">
        <w:rPr>
          <w:color w:val="202124"/>
          <w:lang w:val="en-GB"/>
        </w:rPr>
        <w:t xml:space="preserve"> </w:t>
      </w:r>
      <w:r w:rsidR="000F15BC" w:rsidRPr="00577052">
        <w:rPr>
          <w:color w:val="202124"/>
          <w:lang w:val="en-GB"/>
        </w:rPr>
        <w:t xml:space="preserve">showed a significant result, </w:t>
      </w:r>
      <w:r w:rsidR="00136896" w:rsidRPr="00577052">
        <w:rPr>
          <w:color w:val="333333"/>
          <w:shd w:val="clear" w:color="auto" w:fill="FFFFFF"/>
        </w:rPr>
        <w:t>χ</w:t>
      </w:r>
      <w:r w:rsidR="00136896" w:rsidRPr="00577052">
        <w:rPr>
          <w:color w:val="333333"/>
          <w:vertAlign w:val="superscript"/>
        </w:rPr>
        <w:t>2</w:t>
      </w:r>
      <w:r w:rsidR="00136896" w:rsidRPr="00577052">
        <w:rPr>
          <w:lang w:val="en-GB"/>
        </w:rPr>
        <w:t xml:space="preserve">(1) = 4.26, p = .039, </w:t>
      </w:r>
      <w:r w:rsidR="00136896" w:rsidRPr="00577052">
        <w:rPr>
          <w:i/>
          <w:iCs/>
          <w:lang w:val="en-GB"/>
        </w:rPr>
        <w:t>V</w:t>
      </w:r>
      <w:r w:rsidR="00136896" w:rsidRPr="00577052">
        <w:rPr>
          <w:lang w:val="en-GB"/>
        </w:rPr>
        <w:t xml:space="preserve"> = 0.16</w:t>
      </w:r>
      <w:r w:rsidR="00540623" w:rsidRPr="00577052">
        <w:rPr>
          <w:lang w:val="en-GB"/>
        </w:rPr>
        <w:t xml:space="preserve">, indicating </w:t>
      </w:r>
      <w:r w:rsidR="000B1989" w:rsidRPr="00577052">
        <w:rPr>
          <w:lang w:val="en-GB"/>
        </w:rPr>
        <w:t xml:space="preserve">a significant increase in the proportion of patients </w:t>
      </w:r>
      <w:r w:rsidR="00D21A49" w:rsidRPr="00577052">
        <w:rPr>
          <w:lang w:val="en-GB"/>
        </w:rPr>
        <w:t xml:space="preserve">reporting </w:t>
      </w:r>
      <w:r w:rsidR="0069340E" w:rsidRPr="00577052">
        <w:rPr>
          <w:lang w:val="en-GB"/>
        </w:rPr>
        <w:t>probable CIs</w:t>
      </w:r>
      <w:r w:rsidR="006A646A" w:rsidRPr="00577052">
        <w:rPr>
          <w:lang w:val="en-GB"/>
        </w:rPr>
        <w:t xml:space="preserve"> from baseline (22.0%) to follow-up (26.4%)</w:t>
      </w:r>
      <w:r w:rsidR="00D21A49" w:rsidRPr="00577052">
        <w:rPr>
          <w:lang w:val="en-GB"/>
        </w:rPr>
        <w:t>.</w:t>
      </w:r>
    </w:p>
    <w:p w14:paraId="392DE7AC" w14:textId="02C44FFF" w:rsidR="005911F0" w:rsidRPr="00577052" w:rsidRDefault="005911F0" w:rsidP="00577052">
      <w:pPr>
        <w:spacing w:line="480" w:lineRule="auto"/>
        <w:contextualSpacing/>
        <w:rPr>
          <w:b/>
          <w:bCs/>
          <w:lang w:val="en-GB"/>
        </w:rPr>
      </w:pPr>
      <w:r w:rsidRPr="00577052">
        <w:rPr>
          <w:b/>
          <w:bCs/>
          <w:lang w:val="en-GB"/>
        </w:rPr>
        <w:t>Individual trajectories of change in cognitive complaints</w:t>
      </w:r>
    </w:p>
    <w:p w14:paraId="4AEB488C" w14:textId="266F1E87" w:rsidR="008412F0" w:rsidRPr="00577052" w:rsidRDefault="00BD147A" w:rsidP="00577052">
      <w:pPr>
        <w:spacing w:line="480" w:lineRule="auto"/>
        <w:contextualSpacing/>
        <w:rPr>
          <w:lang w:val="en-GB"/>
        </w:rPr>
      </w:pPr>
      <w:r w:rsidRPr="00577052">
        <w:rPr>
          <w:lang w:val="en-GB"/>
        </w:rPr>
        <w:lastRenderedPageBreak/>
        <w:t>Using the cut-off point of 60 on KDQOL-CF</w:t>
      </w:r>
      <w:r w:rsidR="00906925">
        <w:rPr>
          <w:lang w:val="en-GB"/>
        </w:rPr>
        <w:t xml:space="preserve"> </w:t>
      </w:r>
      <w:r w:rsidR="00906925">
        <w:rPr>
          <w:color w:val="2A2A2A"/>
          <w:shd w:val="clear" w:color="auto" w:fill="FFFFFF"/>
          <w:lang w:eastAsia="en-US"/>
        </w:rPr>
        <w:fldChar w:fldCharType="begin" w:fldLock="1"/>
      </w:r>
      <w:r w:rsidR="00B1620D">
        <w:rPr>
          <w:color w:val="2A2A2A"/>
          <w:shd w:val="clear" w:color="auto" w:fill="FFFFFF"/>
          <w:lang w:eastAsia="en-US"/>
        </w:rPr>
        <w:instrText>ADDIN CSL_CITATION {"citationItems":[{"id":"ITEM-1","itemData":{"DOI":"10.1111/j.1523-1755.2004.66024.x","ISSN":"00852538","PMID":"15569327","abstract":"Background.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International","id":"ITEM-1","issued":{"date-parts":[["2004"]]},"page":"2361-2367","title":"Validation of the Kidney Disease Quality of Life (KDQOL) Cognitive Function subscale","type":"article-journal","volume":"66"},"uris":["http://www.mendeley.com/documents/?uuid=beb6443f-f5ae-4cf7-86fb-b02742370254"]}],"mendeley":{"formattedCitation":"(Kurella et al., 2004)","plainTextFormattedCitation":"(Kurella et al., 2004)","previouslyFormattedCitation":"(Kurella et al., 2004)"},"properties":{"noteIndex":0},"schema":"https://github.com/citation-style-language/schema/raw/master/csl-citation.json"}</w:instrText>
      </w:r>
      <w:r w:rsidR="00906925">
        <w:rPr>
          <w:color w:val="2A2A2A"/>
          <w:shd w:val="clear" w:color="auto" w:fill="FFFFFF"/>
          <w:lang w:eastAsia="en-US"/>
        </w:rPr>
        <w:fldChar w:fldCharType="separate"/>
      </w:r>
      <w:r w:rsidR="00906925" w:rsidRPr="004A1A66">
        <w:rPr>
          <w:noProof/>
          <w:color w:val="2A2A2A"/>
          <w:shd w:val="clear" w:color="auto" w:fill="FFFFFF"/>
          <w:lang w:eastAsia="en-US"/>
        </w:rPr>
        <w:t>(Kurella et al., 2004)</w:t>
      </w:r>
      <w:r w:rsidR="00906925">
        <w:rPr>
          <w:color w:val="2A2A2A"/>
          <w:shd w:val="clear" w:color="auto" w:fill="FFFFFF"/>
          <w:lang w:eastAsia="en-US"/>
        </w:rPr>
        <w:fldChar w:fldCharType="end"/>
      </w:r>
      <w:r w:rsidRPr="00577052">
        <w:rPr>
          <w:lang w:val="en-GB"/>
        </w:rPr>
        <w:t>, patients were classified into four trajecto</w:t>
      </w:r>
      <w:r w:rsidR="00FA2903" w:rsidRPr="00577052">
        <w:rPr>
          <w:lang w:val="en-GB"/>
        </w:rPr>
        <w:t>ries</w:t>
      </w:r>
      <w:r w:rsidRPr="00577052">
        <w:rPr>
          <w:lang w:val="en-GB"/>
        </w:rPr>
        <w:t xml:space="preserve">: (1) </w:t>
      </w:r>
      <w:r w:rsidR="00FA2903" w:rsidRPr="00577052">
        <w:rPr>
          <w:lang w:val="en-GB"/>
        </w:rPr>
        <w:t>resilient</w:t>
      </w:r>
      <w:r w:rsidRPr="00577052">
        <w:rPr>
          <w:lang w:val="en-GB"/>
        </w:rPr>
        <w:t xml:space="preserve"> (i.e., </w:t>
      </w:r>
      <w:r w:rsidR="00A74DA6" w:rsidRPr="00577052">
        <w:rPr>
          <w:lang w:val="en-GB"/>
        </w:rPr>
        <w:t>stable levels of no/low complaints across time</w:t>
      </w:r>
      <w:r w:rsidR="0052333E">
        <w:rPr>
          <w:lang w:val="en-GB"/>
        </w:rPr>
        <w:t xml:space="preserve">; </w:t>
      </w:r>
      <w:r w:rsidR="0052333E" w:rsidRPr="00577052">
        <w:rPr>
          <w:lang w:val="en-GB"/>
        </w:rPr>
        <w:t>N = 96, 60.4%</w:t>
      </w:r>
      <w:r w:rsidRPr="00577052">
        <w:rPr>
          <w:lang w:val="en-GB"/>
        </w:rPr>
        <w:t xml:space="preserve">); (2) persistent (i.e., </w:t>
      </w:r>
      <w:r w:rsidR="006A6BA3" w:rsidRPr="00577052">
        <w:rPr>
          <w:lang w:val="en-GB"/>
        </w:rPr>
        <w:t>stable levels of frequent complaints</w:t>
      </w:r>
      <w:r w:rsidR="00FA5E07" w:rsidRPr="00577052">
        <w:rPr>
          <w:lang w:val="en-GB"/>
        </w:rPr>
        <w:t xml:space="preserve"> indicating </w:t>
      </w:r>
      <w:r w:rsidR="001523E7">
        <w:rPr>
          <w:lang w:val="en-GB"/>
        </w:rPr>
        <w:t xml:space="preserve">probable </w:t>
      </w:r>
      <w:r w:rsidR="00FA5E07" w:rsidRPr="00577052">
        <w:rPr>
          <w:lang w:val="en-GB"/>
        </w:rPr>
        <w:t>CIs</w:t>
      </w:r>
      <w:r w:rsidR="005463C8" w:rsidRPr="00577052">
        <w:rPr>
          <w:lang w:val="en-GB"/>
        </w:rPr>
        <w:t xml:space="preserve"> </w:t>
      </w:r>
      <w:r w:rsidR="00EC2F59" w:rsidRPr="00577052">
        <w:rPr>
          <w:lang w:val="en-GB"/>
        </w:rPr>
        <w:t>at both time points</w:t>
      </w:r>
      <w:r w:rsidR="0052333E">
        <w:rPr>
          <w:lang w:val="en-GB"/>
        </w:rPr>
        <w:t xml:space="preserve">; N = 14, </w:t>
      </w:r>
      <w:r w:rsidR="0052333E" w:rsidRPr="00577052">
        <w:rPr>
          <w:lang w:val="en-GB"/>
        </w:rPr>
        <w:t>8.8%</w:t>
      </w:r>
      <w:r w:rsidRPr="00577052">
        <w:rPr>
          <w:lang w:val="en-GB"/>
        </w:rPr>
        <w:t xml:space="preserve">); (3) deterioration (i.e., </w:t>
      </w:r>
      <w:r w:rsidR="00BD1EF7" w:rsidRPr="00577052">
        <w:rPr>
          <w:lang w:val="en-GB"/>
        </w:rPr>
        <w:t>no CI at baseline with increased complaints</w:t>
      </w:r>
      <w:r w:rsidR="00BD2E5F" w:rsidRPr="00577052">
        <w:rPr>
          <w:lang w:val="en-GB"/>
        </w:rPr>
        <w:t xml:space="preserve"> </w:t>
      </w:r>
      <w:r w:rsidR="00BD1EF7" w:rsidRPr="00577052">
        <w:rPr>
          <w:lang w:val="en-GB"/>
        </w:rPr>
        <w:t xml:space="preserve">at follow-up indicating </w:t>
      </w:r>
      <w:r w:rsidR="009312B1">
        <w:rPr>
          <w:lang w:val="en-GB"/>
        </w:rPr>
        <w:t xml:space="preserve">probable </w:t>
      </w:r>
      <w:r w:rsidR="00BD1EF7" w:rsidRPr="00577052">
        <w:rPr>
          <w:lang w:val="en-GB"/>
        </w:rPr>
        <w:t>CIs</w:t>
      </w:r>
      <w:r w:rsidR="00D53C02">
        <w:rPr>
          <w:lang w:val="en-GB"/>
        </w:rPr>
        <w:t xml:space="preserve">; </w:t>
      </w:r>
      <w:r w:rsidR="00D53C02" w:rsidRPr="00577052">
        <w:rPr>
          <w:lang w:val="en-GB"/>
        </w:rPr>
        <w:t>N = 28, 17.6%</w:t>
      </w:r>
      <w:r w:rsidRPr="00577052">
        <w:rPr>
          <w:lang w:val="en-GB"/>
        </w:rPr>
        <w:t xml:space="preserve">); and (4) recovery (i.e., </w:t>
      </w:r>
      <w:r w:rsidR="00390DBB" w:rsidRPr="00577052">
        <w:rPr>
          <w:lang w:val="en-GB"/>
        </w:rPr>
        <w:t>probable CIs at baseline with diminished complaints at follow-up</w:t>
      </w:r>
      <w:r w:rsidR="00D53C02">
        <w:rPr>
          <w:lang w:val="en-GB"/>
        </w:rPr>
        <w:t xml:space="preserve">; </w:t>
      </w:r>
      <w:r w:rsidR="00D53C02" w:rsidRPr="00577052">
        <w:rPr>
          <w:lang w:val="en-GB"/>
        </w:rPr>
        <w:t>N = 21, 13.2%</w:t>
      </w:r>
      <w:r w:rsidRPr="00577052">
        <w:rPr>
          <w:lang w:val="en-GB"/>
        </w:rPr>
        <w:t>).</w:t>
      </w:r>
      <w:r w:rsidR="009E0AE3" w:rsidRPr="00577052">
        <w:rPr>
          <w:lang w:val="en-GB"/>
        </w:rPr>
        <w:t xml:space="preserve"> </w:t>
      </w:r>
      <w:r w:rsidR="00092F2F" w:rsidRPr="00577052">
        <w:rPr>
          <w:lang w:val="en-GB"/>
        </w:rPr>
        <w:t xml:space="preserve">Means and standard deviations of KDQOL-CF scores in the four trajectory groups at both time points are reported in Table </w:t>
      </w:r>
      <w:r w:rsidR="00E13EBD">
        <w:rPr>
          <w:lang w:val="en-GB"/>
        </w:rPr>
        <w:t>2</w:t>
      </w:r>
      <w:r w:rsidR="00092F2F" w:rsidRPr="00577052">
        <w:rPr>
          <w:lang w:val="en-GB"/>
        </w:rPr>
        <w:t>.</w:t>
      </w:r>
    </w:p>
    <w:p w14:paraId="1FE4EF54" w14:textId="677CFAAB" w:rsidR="00807B58" w:rsidRPr="00577052" w:rsidRDefault="007466C2" w:rsidP="00577052">
      <w:pPr>
        <w:spacing w:line="480" w:lineRule="auto"/>
        <w:contextualSpacing/>
        <w:rPr>
          <w:lang w:val="en-GB"/>
        </w:rPr>
      </w:pPr>
      <w:r w:rsidRPr="00577052">
        <w:rPr>
          <w:b/>
          <w:bCs/>
          <w:lang w:val="en-GB"/>
        </w:rPr>
        <w:t xml:space="preserve">Differences between trajectories in sociodemographic and clinical </w:t>
      </w:r>
      <w:r w:rsidR="004A23AB" w:rsidRPr="00577052">
        <w:rPr>
          <w:b/>
          <w:bCs/>
          <w:lang w:val="en-GB"/>
        </w:rPr>
        <w:t>characteristics</w:t>
      </w:r>
    </w:p>
    <w:p w14:paraId="79C955CC" w14:textId="77218214" w:rsidR="00865307" w:rsidRDefault="00F64CAF" w:rsidP="00865307">
      <w:pPr>
        <w:spacing w:line="480" w:lineRule="auto"/>
        <w:contextualSpacing/>
        <w:rPr>
          <w:lang w:val="en-GB"/>
        </w:rPr>
      </w:pPr>
      <w:r w:rsidRPr="00577052">
        <w:rPr>
          <w:lang w:val="en-GB"/>
        </w:rPr>
        <w:t xml:space="preserve">ANOVAs and Chi-squared tests were performed to evaluate differences between trajectory groups in </w:t>
      </w:r>
      <w:r w:rsidR="003270E3">
        <w:rPr>
          <w:lang w:val="en-GB"/>
        </w:rPr>
        <w:t xml:space="preserve">baseline </w:t>
      </w:r>
      <w:r w:rsidRPr="00577052">
        <w:rPr>
          <w:lang w:val="en-GB"/>
        </w:rPr>
        <w:t>sociodemographic and clinical characteristics</w:t>
      </w:r>
      <w:r w:rsidR="00714D01" w:rsidRPr="00577052">
        <w:rPr>
          <w:lang w:val="en-GB"/>
        </w:rPr>
        <w:t xml:space="preserve"> (see Table </w:t>
      </w:r>
      <w:r w:rsidR="008A04BD">
        <w:rPr>
          <w:lang w:val="en-GB"/>
        </w:rPr>
        <w:t>1</w:t>
      </w:r>
      <w:r w:rsidR="00714D01" w:rsidRPr="00577052">
        <w:rPr>
          <w:lang w:val="en-GB"/>
        </w:rPr>
        <w:t>)</w:t>
      </w:r>
      <w:r w:rsidRPr="00577052">
        <w:rPr>
          <w:lang w:val="en-GB"/>
        </w:rPr>
        <w:t xml:space="preserve">. </w:t>
      </w:r>
      <w:r w:rsidR="00171EDD">
        <w:rPr>
          <w:lang w:val="en-GB"/>
        </w:rPr>
        <w:t>None</w:t>
      </w:r>
      <w:r w:rsidR="00171EDD" w:rsidRPr="00577052">
        <w:rPr>
          <w:lang w:val="en-GB"/>
        </w:rPr>
        <w:t xml:space="preserve"> </w:t>
      </w:r>
      <w:r w:rsidR="00F47311" w:rsidRPr="00577052">
        <w:rPr>
          <w:lang w:val="en-GB"/>
        </w:rPr>
        <w:t xml:space="preserve">of the </w:t>
      </w:r>
      <w:r w:rsidR="005B4613" w:rsidRPr="00577052">
        <w:rPr>
          <w:lang w:val="en-GB"/>
        </w:rPr>
        <w:t xml:space="preserve">sociodemographic and clinical </w:t>
      </w:r>
      <w:r w:rsidR="00171EDD">
        <w:rPr>
          <w:lang w:val="en-GB"/>
        </w:rPr>
        <w:t>characteristics</w:t>
      </w:r>
      <w:r w:rsidR="00171EDD" w:rsidRPr="00577052">
        <w:rPr>
          <w:lang w:val="en-GB"/>
        </w:rPr>
        <w:t xml:space="preserve"> </w:t>
      </w:r>
      <w:r w:rsidR="00171EDD">
        <w:rPr>
          <w:lang w:val="en-GB"/>
        </w:rPr>
        <w:t>was</w:t>
      </w:r>
      <w:r w:rsidR="00171EDD" w:rsidRPr="00577052">
        <w:rPr>
          <w:lang w:val="en-GB"/>
        </w:rPr>
        <w:t xml:space="preserve"> </w:t>
      </w:r>
      <w:r w:rsidR="005B4613" w:rsidRPr="00577052">
        <w:rPr>
          <w:lang w:val="en-GB"/>
        </w:rPr>
        <w:t xml:space="preserve">associated with patterns of change in </w:t>
      </w:r>
      <w:r w:rsidR="004918FA">
        <w:rPr>
          <w:lang w:val="en-GB"/>
        </w:rPr>
        <w:t>SCCs</w:t>
      </w:r>
      <w:r w:rsidR="005B4613" w:rsidRPr="00577052">
        <w:rPr>
          <w:lang w:val="en-GB"/>
        </w:rPr>
        <w:t xml:space="preserve"> over time</w:t>
      </w:r>
      <w:r w:rsidR="008219A9" w:rsidRPr="00577052">
        <w:rPr>
          <w:lang w:val="en-GB"/>
        </w:rPr>
        <w:t xml:space="preserve"> in HD patients</w:t>
      </w:r>
      <w:r w:rsidR="005B4613" w:rsidRPr="00577052">
        <w:rPr>
          <w:lang w:val="en-GB"/>
        </w:rPr>
        <w:t>.</w:t>
      </w:r>
    </w:p>
    <w:p w14:paraId="3BED630E" w14:textId="2D2EEC08" w:rsidR="00865307" w:rsidRPr="008253C4" w:rsidRDefault="00865307" w:rsidP="00865307">
      <w:pPr>
        <w:spacing w:line="480" w:lineRule="auto"/>
        <w:contextualSpacing/>
        <w:rPr>
          <w:sz w:val="18"/>
          <w:szCs w:val="18"/>
          <w:lang w:val="en-GB"/>
        </w:rPr>
      </w:pPr>
      <w:r w:rsidRPr="008253C4">
        <w:rPr>
          <w:sz w:val="18"/>
          <w:szCs w:val="18"/>
          <w:lang w:val="en-GB"/>
        </w:rPr>
        <w:t xml:space="preserve">Table 1. </w:t>
      </w:r>
      <w:r w:rsidRPr="008253C4">
        <w:rPr>
          <w:i/>
          <w:iCs/>
          <w:sz w:val="18"/>
          <w:szCs w:val="18"/>
          <w:lang w:val="en-GB"/>
        </w:rPr>
        <w:t>Sociodemographic and clinical characteristics of study participants and comparison</w:t>
      </w:r>
      <w:r w:rsidR="006337E6">
        <w:rPr>
          <w:i/>
          <w:iCs/>
          <w:sz w:val="18"/>
          <w:szCs w:val="18"/>
          <w:lang w:val="en-GB"/>
        </w:rPr>
        <w:t>s</w:t>
      </w:r>
      <w:r w:rsidRPr="008253C4">
        <w:rPr>
          <w:i/>
          <w:iCs/>
          <w:sz w:val="18"/>
          <w:szCs w:val="18"/>
          <w:lang w:val="en-GB"/>
        </w:rPr>
        <w:t xml:space="preserve"> between trajectory groups.</w:t>
      </w:r>
    </w:p>
    <w:tbl>
      <w:tblPr>
        <w:tblW w:w="11624" w:type="dxa"/>
        <w:tblInd w:w="-1276" w:type="dxa"/>
        <w:tblLayout w:type="fixed"/>
        <w:tblLook w:val="04A0" w:firstRow="1" w:lastRow="0" w:firstColumn="1" w:lastColumn="0" w:noHBand="0" w:noVBand="1"/>
      </w:tblPr>
      <w:tblGrid>
        <w:gridCol w:w="283"/>
        <w:gridCol w:w="284"/>
        <w:gridCol w:w="2269"/>
        <w:gridCol w:w="1701"/>
        <w:gridCol w:w="1417"/>
        <w:gridCol w:w="1418"/>
        <w:gridCol w:w="1417"/>
        <w:gridCol w:w="1418"/>
        <w:gridCol w:w="708"/>
        <w:gridCol w:w="709"/>
      </w:tblGrid>
      <w:tr w:rsidR="00865307" w:rsidRPr="00865307" w14:paraId="79609B2B" w14:textId="77777777" w:rsidTr="008253C4">
        <w:trPr>
          <w:trHeight w:val="680"/>
        </w:trPr>
        <w:tc>
          <w:tcPr>
            <w:tcW w:w="2836" w:type="dxa"/>
            <w:gridSpan w:val="3"/>
            <w:vMerge w:val="restart"/>
            <w:tcBorders>
              <w:top w:val="single" w:sz="4" w:space="0" w:color="auto"/>
              <w:left w:val="nil"/>
              <w:bottom w:val="single" w:sz="4" w:space="0" w:color="000000"/>
              <w:right w:val="nil"/>
            </w:tcBorders>
            <w:shd w:val="clear" w:color="auto" w:fill="auto"/>
            <w:noWrap/>
            <w:vAlign w:val="center"/>
            <w:hideMark/>
          </w:tcPr>
          <w:p w14:paraId="1CFDD1F3" w14:textId="77777777" w:rsidR="00865307" w:rsidRPr="00865307" w:rsidRDefault="00865307" w:rsidP="008253C4">
            <w:pPr>
              <w:jc w:val="center"/>
              <w:rPr>
                <w:color w:val="000000"/>
                <w:sz w:val="18"/>
                <w:szCs w:val="18"/>
              </w:rPr>
            </w:pPr>
            <w:r w:rsidRPr="00865307">
              <w:rPr>
                <w:color w:val="000000"/>
                <w:sz w:val="18"/>
                <w:szCs w:val="18"/>
              </w:rPr>
              <w:t> </w:t>
            </w:r>
          </w:p>
        </w:tc>
        <w:tc>
          <w:tcPr>
            <w:tcW w:w="1701" w:type="dxa"/>
            <w:tcBorders>
              <w:top w:val="single" w:sz="4" w:space="0" w:color="auto"/>
              <w:left w:val="nil"/>
              <w:bottom w:val="single" w:sz="4" w:space="0" w:color="auto"/>
              <w:right w:val="nil"/>
            </w:tcBorders>
            <w:shd w:val="clear" w:color="auto" w:fill="auto"/>
            <w:vAlign w:val="center"/>
            <w:hideMark/>
          </w:tcPr>
          <w:p w14:paraId="506C2427" w14:textId="77777777" w:rsidR="00865307" w:rsidRPr="00865307" w:rsidRDefault="00865307" w:rsidP="008253C4">
            <w:pPr>
              <w:jc w:val="center"/>
              <w:rPr>
                <w:color w:val="000000"/>
                <w:sz w:val="18"/>
                <w:szCs w:val="18"/>
              </w:rPr>
            </w:pPr>
            <w:r w:rsidRPr="00865307">
              <w:rPr>
                <w:color w:val="000000"/>
                <w:sz w:val="18"/>
                <w:szCs w:val="18"/>
              </w:rPr>
              <w:t>Total</w:t>
            </w:r>
            <w:r w:rsidRPr="00865307">
              <w:rPr>
                <w:color w:val="000000"/>
                <w:sz w:val="18"/>
                <w:szCs w:val="18"/>
              </w:rPr>
              <w:br/>
              <w:t>(N = 159; 100.0%)</w:t>
            </w:r>
          </w:p>
        </w:tc>
        <w:tc>
          <w:tcPr>
            <w:tcW w:w="1417" w:type="dxa"/>
            <w:tcBorders>
              <w:top w:val="single" w:sz="4" w:space="0" w:color="auto"/>
              <w:left w:val="nil"/>
              <w:bottom w:val="single" w:sz="4" w:space="0" w:color="auto"/>
              <w:right w:val="nil"/>
            </w:tcBorders>
            <w:shd w:val="clear" w:color="auto" w:fill="auto"/>
            <w:vAlign w:val="center"/>
            <w:hideMark/>
          </w:tcPr>
          <w:p w14:paraId="5FB3D3F1" w14:textId="77777777" w:rsidR="00865307" w:rsidRPr="00865307" w:rsidRDefault="00865307" w:rsidP="008253C4">
            <w:pPr>
              <w:jc w:val="center"/>
              <w:rPr>
                <w:color w:val="000000"/>
                <w:sz w:val="18"/>
                <w:szCs w:val="18"/>
              </w:rPr>
            </w:pPr>
            <w:r w:rsidRPr="00865307">
              <w:rPr>
                <w:color w:val="000000"/>
                <w:sz w:val="18"/>
                <w:szCs w:val="18"/>
              </w:rPr>
              <w:t>Resilient</w:t>
            </w:r>
            <w:r w:rsidRPr="00865307">
              <w:rPr>
                <w:color w:val="000000"/>
                <w:sz w:val="18"/>
                <w:szCs w:val="18"/>
              </w:rPr>
              <w:br/>
              <w:t>(N = 96; 60.4%)</w:t>
            </w:r>
          </w:p>
        </w:tc>
        <w:tc>
          <w:tcPr>
            <w:tcW w:w="1418" w:type="dxa"/>
            <w:tcBorders>
              <w:top w:val="single" w:sz="4" w:space="0" w:color="auto"/>
              <w:left w:val="nil"/>
              <w:bottom w:val="single" w:sz="4" w:space="0" w:color="auto"/>
              <w:right w:val="nil"/>
            </w:tcBorders>
            <w:shd w:val="clear" w:color="auto" w:fill="auto"/>
            <w:vAlign w:val="center"/>
            <w:hideMark/>
          </w:tcPr>
          <w:p w14:paraId="10D6B459" w14:textId="77777777" w:rsidR="00865307" w:rsidRPr="00865307" w:rsidRDefault="00865307" w:rsidP="008253C4">
            <w:pPr>
              <w:jc w:val="center"/>
              <w:rPr>
                <w:color w:val="000000"/>
                <w:sz w:val="18"/>
                <w:szCs w:val="18"/>
              </w:rPr>
            </w:pPr>
            <w:r w:rsidRPr="00865307">
              <w:rPr>
                <w:color w:val="000000"/>
                <w:sz w:val="18"/>
                <w:szCs w:val="18"/>
              </w:rPr>
              <w:t>Persistent</w:t>
            </w:r>
            <w:r w:rsidRPr="00865307">
              <w:rPr>
                <w:color w:val="000000"/>
                <w:sz w:val="18"/>
                <w:szCs w:val="18"/>
              </w:rPr>
              <w:br/>
              <w:t>(N = 14; 8.8%)</w:t>
            </w:r>
          </w:p>
        </w:tc>
        <w:tc>
          <w:tcPr>
            <w:tcW w:w="1417" w:type="dxa"/>
            <w:tcBorders>
              <w:top w:val="single" w:sz="4" w:space="0" w:color="auto"/>
              <w:left w:val="nil"/>
              <w:bottom w:val="single" w:sz="4" w:space="0" w:color="auto"/>
              <w:right w:val="nil"/>
            </w:tcBorders>
            <w:shd w:val="clear" w:color="auto" w:fill="auto"/>
            <w:vAlign w:val="center"/>
            <w:hideMark/>
          </w:tcPr>
          <w:p w14:paraId="17D16E1C" w14:textId="77777777" w:rsidR="00865307" w:rsidRPr="00865307" w:rsidRDefault="00865307" w:rsidP="008253C4">
            <w:pPr>
              <w:jc w:val="center"/>
              <w:rPr>
                <w:color w:val="000000"/>
                <w:sz w:val="18"/>
                <w:szCs w:val="18"/>
              </w:rPr>
            </w:pPr>
            <w:r w:rsidRPr="00865307">
              <w:rPr>
                <w:color w:val="000000"/>
                <w:sz w:val="18"/>
                <w:szCs w:val="18"/>
              </w:rPr>
              <w:t>Deterioration</w:t>
            </w:r>
            <w:r w:rsidRPr="00865307">
              <w:rPr>
                <w:color w:val="000000"/>
                <w:sz w:val="18"/>
                <w:szCs w:val="18"/>
              </w:rPr>
              <w:br/>
              <w:t>(N = 28; 17.6%)</w:t>
            </w:r>
          </w:p>
        </w:tc>
        <w:tc>
          <w:tcPr>
            <w:tcW w:w="1418" w:type="dxa"/>
            <w:tcBorders>
              <w:top w:val="single" w:sz="4" w:space="0" w:color="auto"/>
              <w:left w:val="nil"/>
              <w:bottom w:val="single" w:sz="4" w:space="0" w:color="auto"/>
              <w:right w:val="nil"/>
            </w:tcBorders>
            <w:shd w:val="clear" w:color="auto" w:fill="auto"/>
            <w:vAlign w:val="center"/>
            <w:hideMark/>
          </w:tcPr>
          <w:p w14:paraId="5879EF5A" w14:textId="77777777" w:rsidR="00865307" w:rsidRPr="00865307" w:rsidRDefault="00865307" w:rsidP="008253C4">
            <w:pPr>
              <w:jc w:val="center"/>
              <w:rPr>
                <w:color w:val="000000"/>
                <w:sz w:val="18"/>
                <w:szCs w:val="18"/>
              </w:rPr>
            </w:pPr>
            <w:r w:rsidRPr="00865307">
              <w:rPr>
                <w:color w:val="000000"/>
                <w:sz w:val="18"/>
                <w:szCs w:val="18"/>
              </w:rPr>
              <w:t>Recovery</w:t>
            </w:r>
            <w:r w:rsidRPr="00865307">
              <w:rPr>
                <w:color w:val="000000"/>
                <w:sz w:val="18"/>
                <w:szCs w:val="18"/>
              </w:rPr>
              <w:br/>
              <w:t>(N = 21; 13.2%)</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58E03EF6" w14:textId="77777777" w:rsidR="00865307" w:rsidRPr="00865307" w:rsidRDefault="00865307" w:rsidP="008253C4">
            <w:pPr>
              <w:jc w:val="center"/>
              <w:rPr>
                <w:color w:val="000000"/>
                <w:sz w:val="18"/>
                <w:szCs w:val="18"/>
              </w:rPr>
            </w:pPr>
            <w:r w:rsidRPr="00865307">
              <w:rPr>
                <w:i/>
                <w:iCs/>
                <w:color w:val="000000"/>
                <w:sz w:val="18"/>
                <w:szCs w:val="18"/>
              </w:rPr>
              <w:t>p</w:t>
            </w:r>
            <w:r w:rsidRPr="00865307">
              <w:rPr>
                <w:color w:val="000000"/>
                <w:sz w:val="18"/>
                <w:szCs w:val="18"/>
              </w:rPr>
              <w:t xml:space="preserve"> value</w:t>
            </w:r>
          </w:p>
        </w:tc>
        <w:tc>
          <w:tcPr>
            <w:tcW w:w="709" w:type="dxa"/>
            <w:vMerge w:val="restart"/>
            <w:tcBorders>
              <w:top w:val="single" w:sz="4" w:space="0" w:color="auto"/>
              <w:left w:val="nil"/>
              <w:bottom w:val="single" w:sz="4" w:space="0" w:color="000000"/>
              <w:right w:val="nil"/>
            </w:tcBorders>
            <w:shd w:val="clear" w:color="auto" w:fill="auto"/>
            <w:noWrap/>
            <w:vAlign w:val="center"/>
            <w:hideMark/>
          </w:tcPr>
          <w:p w14:paraId="2DDC5975" w14:textId="77777777" w:rsidR="00865307" w:rsidRPr="00865307" w:rsidRDefault="00865307" w:rsidP="008253C4">
            <w:pPr>
              <w:jc w:val="center"/>
              <w:rPr>
                <w:color w:val="000000"/>
                <w:sz w:val="18"/>
                <w:szCs w:val="18"/>
              </w:rPr>
            </w:pPr>
            <w:r w:rsidRPr="00865307">
              <w:rPr>
                <w:color w:val="000000"/>
                <w:sz w:val="18"/>
                <w:szCs w:val="18"/>
              </w:rPr>
              <w:t>Effect size</w:t>
            </w:r>
          </w:p>
        </w:tc>
      </w:tr>
      <w:tr w:rsidR="000171D8" w:rsidRPr="00865307" w14:paraId="42BBE480" w14:textId="77777777" w:rsidTr="008D3CBA">
        <w:trPr>
          <w:trHeight w:val="320"/>
        </w:trPr>
        <w:tc>
          <w:tcPr>
            <w:tcW w:w="2836" w:type="dxa"/>
            <w:gridSpan w:val="3"/>
            <w:vMerge/>
            <w:tcBorders>
              <w:top w:val="single" w:sz="4" w:space="0" w:color="auto"/>
              <w:left w:val="nil"/>
              <w:bottom w:val="single" w:sz="4" w:space="0" w:color="000000"/>
              <w:right w:val="nil"/>
            </w:tcBorders>
            <w:vAlign w:val="center"/>
            <w:hideMark/>
          </w:tcPr>
          <w:p w14:paraId="0A2DAD45" w14:textId="77777777" w:rsidR="000171D8" w:rsidRPr="00865307" w:rsidRDefault="000171D8" w:rsidP="008253C4">
            <w:pPr>
              <w:rPr>
                <w:color w:val="000000"/>
                <w:sz w:val="18"/>
                <w:szCs w:val="18"/>
              </w:rPr>
            </w:pPr>
          </w:p>
        </w:tc>
        <w:tc>
          <w:tcPr>
            <w:tcW w:w="7371" w:type="dxa"/>
            <w:gridSpan w:val="5"/>
            <w:tcBorders>
              <w:top w:val="nil"/>
              <w:left w:val="nil"/>
              <w:bottom w:val="single" w:sz="4" w:space="0" w:color="auto"/>
              <w:right w:val="nil"/>
            </w:tcBorders>
            <w:shd w:val="clear" w:color="auto" w:fill="auto"/>
            <w:noWrap/>
            <w:vAlign w:val="center"/>
            <w:hideMark/>
          </w:tcPr>
          <w:p w14:paraId="29C583D2" w14:textId="6B860197" w:rsidR="000171D8" w:rsidRPr="00865307" w:rsidRDefault="000171D8" w:rsidP="000171D8">
            <w:pPr>
              <w:jc w:val="center"/>
              <w:rPr>
                <w:color w:val="000000"/>
                <w:sz w:val="18"/>
                <w:szCs w:val="18"/>
              </w:rPr>
            </w:pPr>
            <w:r w:rsidRPr="00865307">
              <w:rPr>
                <w:color w:val="000000"/>
                <w:sz w:val="18"/>
                <w:szCs w:val="18"/>
              </w:rPr>
              <w:t>Mean (SD) / N (%)</w:t>
            </w:r>
          </w:p>
        </w:tc>
        <w:tc>
          <w:tcPr>
            <w:tcW w:w="708" w:type="dxa"/>
            <w:vMerge/>
            <w:tcBorders>
              <w:top w:val="single" w:sz="4" w:space="0" w:color="auto"/>
              <w:left w:val="nil"/>
              <w:bottom w:val="single" w:sz="4" w:space="0" w:color="000000"/>
              <w:right w:val="nil"/>
            </w:tcBorders>
            <w:vAlign w:val="center"/>
            <w:hideMark/>
          </w:tcPr>
          <w:p w14:paraId="195EE695" w14:textId="77777777" w:rsidR="000171D8" w:rsidRPr="00865307" w:rsidRDefault="000171D8" w:rsidP="008253C4">
            <w:pPr>
              <w:rPr>
                <w:color w:val="000000"/>
                <w:sz w:val="18"/>
                <w:szCs w:val="18"/>
              </w:rPr>
            </w:pPr>
          </w:p>
        </w:tc>
        <w:tc>
          <w:tcPr>
            <w:tcW w:w="709" w:type="dxa"/>
            <w:vMerge/>
            <w:tcBorders>
              <w:top w:val="single" w:sz="4" w:space="0" w:color="auto"/>
              <w:left w:val="nil"/>
              <w:bottom w:val="single" w:sz="4" w:space="0" w:color="000000"/>
              <w:right w:val="nil"/>
            </w:tcBorders>
            <w:vAlign w:val="center"/>
            <w:hideMark/>
          </w:tcPr>
          <w:p w14:paraId="68C0AD0E" w14:textId="77777777" w:rsidR="000171D8" w:rsidRPr="00865307" w:rsidRDefault="000171D8" w:rsidP="008253C4">
            <w:pPr>
              <w:rPr>
                <w:color w:val="000000"/>
                <w:sz w:val="18"/>
                <w:szCs w:val="18"/>
              </w:rPr>
            </w:pPr>
          </w:p>
        </w:tc>
      </w:tr>
      <w:tr w:rsidR="00865307" w:rsidRPr="00865307" w14:paraId="30729B56" w14:textId="77777777" w:rsidTr="008253C4">
        <w:trPr>
          <w:trHeight w:val="320"/>
        </w:trPr>
        <w:tc>
          <w:tcPr>
            <w:tcW w:w="2836" w:type="dxa"/>
            <w:gridSpan w:val="3"/>
            <w:tcBorders>
              <w:top w:val="nil"/>
              <w:left w:val="nil"/>
              <w:bottom w:val="nil"/>
              <w:right w:val="nil"/>
            </w:tcBorders>
            <w:shd w:val="clear" w:color="auto" w:fill="auto"/>
            <w:noWrap/>
            <w:vAlign w:val="center"/>
            <w:hideMark/>
          </w:tcPr>
          <w:p w14:paraId="3D39EA5A" w14:textId="77777777" w:rsidR="00865307" w:rsidRPr="00865307" w:rsidRDefault="00865307" w:rsidP="008253C4">
            <w:pPr>
              <w:rPr>
                <w:color w:val="000000"/>
                <w:sz w:val="18"/>
                <w:szCs w:val="18"/>
              </w:rPr>
            </w:pPr>
            <w:r w:rsidRPr="00865307">
              <w:rPr>
                <w:color w:val="000000"/>
                <w:sz w:val="18"/>
                <w:szCs w:val="18"/>
              </w:rPr>
              <w:t>Sociodemographic variables</w:t>
            </w:r>
          </w:p>
        </w:tc>
        <w:tc>
          <w:tcPr>
            <w:tcW w:w="1701" w:type="dxa"/>
            <w:tcBorders>
              <w:top w:val="nil"/>
              <w:left w:val="nil"/>
              <w:bottom w:val="nil"/>
              <w:right w:val="nil"/>
            </w:tcBorders>
            <w:shd w:val="clear" w:color="auto" w:fill="auto"/>
            <w:noWrap/>
            <w:vAlign w:val="center"/>
            <w:hideMark/>
          </w:tcPr>
          <w:p w14:paraId="71E04F17"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454721BD" w14:textId="77777777" w:rsidR="00865307" w:rsidRPr="00865307" w:rsidRDefault="00865307" w:rsidP="008253C4">
            <w:pPr>
              <w:rPr>
                <w:sz w:val="18"/>
                <w:szCs w:val="18"/>
              </w:rPr>
            </w:pPr>
          </w:p>
        </w:tc>
        <w:tc>
          <w:tcPr>
            <w:tcW w:w="1418" w:type="dxa"/>
            <w:tcBorders>
              <w:top w:val="nil"/>
              <w:left w:val="nil"/>
              <w:bottom w:val="nil"/>
              <w:right w:val="nil"/>
            </w:tcBorders>
            <w:shd w:val="clear" w:color="auto" w:fill="auto"/>
            <w:noWrap/>
            <w:vAlign w:val="center"/>
            <w:hideMark/>
          </w:tcPr>
          <w:p w14:paraId="54E61737"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1A1584BB"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4691B50D"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5EDB99A0" w14:textId="77777777" w:rsidR="00865307" w:rsidRPr="00865307" w:rsidRDefault="00865307" w:rsidP="008253C4">
            <w:pPr>
              <w:jc w:val="center"/>
              <w:rPr>
                <w:sz w:val="18"/>
                <w:szCs w:val="18"/>
              </w:rPr>
            </w:pPr>
          </w:p>
        </w:tc>
        <w:tc>
          <w:tcPr>
            <w:tcW w:w="709" w:type="dxa"/>
            <w:tcBorders>
              <w:top w:val="nil"/>
              <w:left w:val="nil"/>
              <w:bottom w:val="nil"/>
              <w:right w:val="nil"/>
            </w:tcBorders>
            <w:shd w:val="clear" w:color="auto" w:fill="auto"/>
            <w:noWrap/>
            <w:vAlign w:val="center"/>
            <w:hideMark/>
          </w:tcPr>
          <w:p w14:paraId="29A16A2A" w14:textId="77777777" w:rsidR="00865307" w:rsidRPr="00865307" w:rsidRDefault="00865307" w:rsidP="008253C4">
            <w:pPr>
              <w:jc w:val="center"/>
              <w:rPr>
                <w:sz w:val="18"/>
                <w:szCs w:val="18"/>
              </w:rPr>
            </w:pPr>
          </w:p>
        </w:tc>
      </w:tr>
      <w:tr w:rsidR="00865307" w:rsidRPr="00865307" w14:paraId="1BA0F921" w14:textId="77777777" w:rsidTr="008253C4">
        <w:trPr>
          <w:trHeight w:val="320"/>
        </w:trPr>
        <w:tc>
          <w:tcPr>
            <w:tcW w:w="283" w:type="dxa"/>
            <w:tcBorders>
              <w:top w:val="nil"/>
              <w:left w:val="nil"/>
              <w:bottom w:val="nil"/>
              <w:right w:val="nil"/>
            </w:tcBorders>
            <w:shd w:val="clear" w:color="auto" w:fill="auto"/>
            <w:noWrap/>
            <w:vAlign w:val="center"/>
            <w:hideMark/>
          </w:tcPr>
          <w:p w14:paraId="37BDF00F"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0CAF43AC" w14:textId="77777777" w:rsidR="00865307" w:rsidRPr="00865307" w:rsidRDefault="00865307" w:rsidP="008253C4">
            <w:pPr>
              <w:rPr>
                <w:color w:val="000000"/>
                <w:sz w:val="18"/>
                <w:szCs w:val="18"/>
              </w:rPr>
            </w:pPr>
            <w:r w:rsidRPr="00865307">
              <w:rPr>
                <w:color w:val="000000"/>
                <w:sz w:val="18"/>
                <w:szCs w:val="18"/>
              </w:rPr>
              <w:t>Gender</w:t>
            </w:r>
          </w:p>
        </w:tc>
        <w:tc>
          <w:tcPr>
            <w:tcW w:w="1701" w:type="dxa"/>
            <w:tcBorders>
              <w:top w:val="nil"/>
              <w:left w:val="nil"/>
              <w:bottom w:val="nil"/>
              <w:right w:val="nil"/>
            </w:tcBorders>
            <w:shd w:val="clear" w:color="auto" w:fill="auto"/>
            <w:noWrap/>
            <w:vAlign w:val="center"/>
            <w:hideMark/>
          </w:tcPr>
          <w:p w14:paraId="3AC3D741"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0625B42E" w14:textId="77777777" w:rsidR="00865307" w:rsidRPr="00865307" w:rsidRDefault="00865307" w:rsidP="008253C4">
            <w:pPr>
              <w:rPr>
                <w:sz w:val="18"/>
                <w:szCs w:val="18"/>
              </w:rPr>
            </w:pPr>
          </w:p>
        </w:tc>
        <w:tc>
          <w:tcPr>
            <w:tcW w:w="1418" w:type="dxa"/>
            <w:tcBorders>
              <w:top w:val="nil"/>
              <w:left w:val="nil"/>
              <w:bottom w:val="nil"/>
              <w:right w:val="nil"/>
            </w:tcBorders>
            <w:shd w:val="clear" w:color="auto" w:fill="auto"/>
            <w:noWrap/>
            <w:vAlign w:val="center"/>
            <w:hideMark/>
          </w:tcPr>
          <w:p w14:paraId="6F7DFAD6"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4F0CD170"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39CB8C88"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50DB04E3" w14:textId="77777777" w:rsidR="00865307" w:rsidRPr="00865307" w:rsidRDefault="00865307" w:rsidP="008253C4">
            <w:pPr>
              <w:jc w:val="center"/>
              <w:rPr>
                <w:color w:val="000000"/>
                <w:sz w:val="18"/>
                <w:szCs w:val="18"/>
              </w:rPr>
            </w:pPr>
            <w:r w:rsidRPr="00865307">
              <w:rPr>
                <w:color w:val="000000"/>
                <w:sz w:val="18"/>
                <w:szCs w:val="18"/>
              </w:rPr>
              <w:t>.367</w:t>
            </w:r>
          </w:p>
        </w:tc>
        <w:tc>
          <w:tcPr>
            <w:tcW w:w="709" w:type="dxa"/>
            <w:tcBorders>
              <w:top w:val="nil"/>
              <w:left w:val="nil"/>
              <w:bottom w:val="nil"/>
              <w:right w:val="nil"/>
            </w:tcBorders>
            <w:shd w:val="clear" w:color="auto" w:fill="auto"/>
            <w:noWrap/>
            <w:vAlign w:val="center"/>
            <w:hideMark/>
          </w:tcPr>
          <w:p w14:paraId="7D575D3D" w14:textId="77777777" w:rsidR="00865307" w:rsidRPr="00865307" w:rsidRDefault="00865307" w:rsidP="008253C4">
            <w:pPr>
              <w:jc w:val="center"/>
              <w:rPr>
                <w:color w:val="000000"/>
                <w:sz w:val="18"/>
                <w:szCs w:val="18"/>
              </w:rPr>
            </w:pPr>
            <w:r w:rsidRPr="00865307">
              <w:rPr>
                <w:color w:val="000000"/>
                <w:sz w:val="18"/>
                <w:szCs w:val="18"/>
              </w:rPr>
              <w:t>0.14</w:t>
            </w:r>
          </w:p>
        </w:tc>
      </w:tr>
      <w:tr w:rsidR="00865307" w:rsidRPr="00865307" w14:paraId="7A530657" w14:textId="77777777" w:rsidTr="008253C4">
        <w:trPr>
          <w:trHeight w:val="320"/>
        </w:trPr>
        <w:tc>
          <w:tcPr>
            <w:tcW w:w="283" w:type="dxa"/>
            <w:tcBorders>
              <w:top w:val="nil"/>
              <w:left w:val="nil"/>
              <w:bottom w:val="nil"/>
              <w:right w:val="nil"/>
            </w:tcBorders>
            <w:shd w:val="clear" w:color="auto" w:fill="auto"/>
            <w:noWrap/>
            <w:vAlign w:val="center"/>
            <w:hideMark/>
          </w:tcPr>
          <w:p w14:paraId="09822628"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60FE84BA"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1F36B641" w14:textId="77777777" w:rsidR="00865307" w:rsidRPr="00865307" w:rsidRDefault="00865307" w:rsidP="008253C4">
            <w:pPr>
              <w:rPr>
                <w:color w:val="000000"/>
                <w:sz w:val="18"/>
                <w:szCs w:val="18"/>
              </w:rPr>
            </w:pPr>
            <w:r w:rsidRPr="00865307">
              <w:rPr>
                <w:color w:val="000000"/>
                <w:sz w:val="18"/>
                <w:szCs w:val="18"/>
              </w:rPr>
              <w:t>Female</w:t>
            </w:r>
          </w:p>
        </w:tc>
        <w:tc>
          <w:tcPr>
            <w:tcW w:w="1701" w:type="dxa"/>
            <w:tcBorders>
              <w:top w:val="nil"/>
              <w:left w:val="nil"/>
              <w:bottom w:val="nil"/>
              <w:right w:val="nil"/>
            </w:tcBorders>
            <w:shd w:val="clear" w:color="auto" w:fill="auto"/>
            <w:noWrap/>
            <w:vAlign w:val="center"/>
            <w:hideMark/>
          </w:tcPr>
          <w:p w14:paraId="10FA978F" w14:textId="77777777" w:rsidR="00865307" w:rsidRPr="00865307" w:rsidRDefault="00865307" w:rsidP="008253C4">
            <w:pPr>
              <w:jc w:val="center"/>
              <w:rPr>
                <w:color w:val="000000"/>
                <w:sz w:val="18"/>
                <w:szCs w:val="18"/>
              </w:rPr>
            </w:pPr>
            <w:r w:rsidRPr="00865307">
              <w:rPr>
                <w:color w:val="000000"/>
                <w:sz w:val="18"/>
                <w:szCs w:val="18"/>
              </w:rPr>
              <w:t>64 (40.3%)</w:t>
            </w:r>
          </w:p>
        </w:tc>
        <w:tc>
          <w:tcPr>
            <w:tcW w:w="1417" w:type="dxa"/>
            <w:tcBorders>
              <w:top w:val="nil"/>
              <w:left w:val="nil"/>
              <w:bottom w:val="nil"/>
              <w:right w:val="nil"/>
            </w:tcBorders>
            <w:shd w:val="clear" w:color="auto" w:fill="auto"/>
            <w:noWrap/>
            <w:vAlign w:val="center"/>
            <w:hideMark/>
          </w:tcPr>
          <w:p w14:paraId="78950869" w14:textId="77777777" w:rsidR="00865307" w:rsidRPr="00865307" w:rsidRDefault="00865307" w:rsidP="008253C4">
            <w:pPr>
              <w:jc w:val="center"/>
              <w:rPr>
                <w:color w:val="000000"/>
                <w:sz w:val="18"/>
                <w:szCs w:val="18"/>
              </w:rPr>
            </w:pPr>
            <w:r w:rsidRPr="00865307">
              <w:rPr>
                <w:color w:val="000000"/>
                <w:sz w:val="18"/>
                <w:szCs w:val="18"/>
              </w:rPr>
              <w:t>41 (42.7%)</w:t>
            </w:r>
          </w:p>
        </w:tc>
        <w:tc>
          <w:tcPr>
            <w:tcW w:w="1418" w:type="dxa"/>
            <w:tcBorders>
              <w:top w:val="nil"/>
              <w:left w:val="nil"/>
              <w:bottom w:val="nil"/>
              <w:right w:val="nil"/>
            </w:tcBorders>
            <w:shd w:val="clear" w:color="auto" w:fill="auto"/>
            <w:noWrap/>
            <w:vAlign w:val="center"/>
            <w:hideMark/>
          </w:tcPr>
          <w:p w14:paraId="08709E95" w14:textId="77777777" w:rsidR="00865307" w:rsidRPr="00865307" w:rsidRDefault="00865307" w:rsidP="008253C4">
            <w:pPr>
              <w:jc w:val="center"/>
              <w:rPr>
                <w:color w:val="000000"/>
                <w:sz w:val="18"/>
                <w:szCs w:val="18"/>
              </w:rPr>
            </w:pPr>
            <w:r w:rsidRPr="00865307">
              <w:rPr>
                <w:color w:val="000000"/>
                <w:sz w:val="18"/>
                <w:szCs w:val="18"/>
              </w:rPr>
              <w:t>7 (50.0%)</w:t>
            </w:r>
          </w:p>
        </w:tc>
        <w:tc>
          <w:tcPr>
            <w:tcW w:w="1417" w:type="dxa"/>
            <w:tcBorders>
              <w:top w:val="nil"/>
              <w:left w:val="nil"/>
              <w:bottom w:val="nil"/>
              <w:right w:val="nil"/>
            </w:tcBorders>
            <w:shd w:val="clear" w:color="auto" w:fill="auto"/>
            <w:noWrap/>
            <w:vAlign w:val="center"/>
            <w:hideMark/>
          </w:tcPr>
          <w:p w14:paraId="6380661C" w14:textId="77777777" w:rsidR="00865307" w:rsidRPr="00865307" w:rsidRDefault="00865307" w:rsidP="008253C4">
            <w:pPr>
              <w:jc w:val="center"/>
              <w:rPr>
                <w:color w:val="000000"/>
                <w:sz w:val="18"/>
                <w:szCs w:val="18"/>
              </w:rPr>
            </w:pPr>
            <w:r w:rsidRPr="00865307">
              <w:rPr>
                <w:color w:val="000000"/>
                <w:sz w:val="18"/>
                <w:szCs w:val="18"/>
              </w:rPr>
              <w:t>11 (39.3%)</w:t>
            </w:r>
          </w:p>
        </w:tc>
        <w:tc>
          <w:tcPr>
            <w:tcW w:w="1418" w:type="dxa"/>
            <w:tcBorders>
              <w:top w:val="nil"/>
              <w:left w:val="nil"/>
              <w:bottom w:val="nil"/>
              <w:right w:val="nil"/>
            </w:tcBorders>
            <w:shd w:val="clear" w:color="auto" w:fill="auto"/>
            <w:noWrap/>
            <w:vAlign w:val="center"/>
            <w:hideMark/>
          </w:tcPr>
          <w:p w14:paraId="4FDA31EA" w14:textId="77777777" w:rsidR="00865307" w:rsidRPr="00865307" w:rsidRDefault="00865307" w:rsidP="008253C4">
            <w:pPr>
              <w:jc w:val="center"/>
              <w:rPr>
                <w:color w:val="000000"/>
                <w:sz w:val="18"/>
                <w:szCs w:val="18"/>
              </w:rPr>
            </w:pPr>
            <w:r w:rsidRPr="00865307">
              <w:rPr>
                <w:color w:val="000000"/>
                <w:sz w:val="18"/>
                <w:szCs w:val="18"/>
              </w:rPr>
              <w:t>5 (23.8%)</w:t>
            </w:r>
          </w:p>
        </w:tc>
        <w:tc>
          <w:tcPr>
            <w:tcW w:w="708" w:type="dxa"/>
            <w:tcBorders>
              <w:top w:val="nil"/>
              <w:left w:val="nil"/>
              <w:bottom w:val="nil"/>
              <w:right w:val="nil"/>
            </w:tcBorders>
            <w:shd w:val="clear" w:color="auto" w:fill="auto"/>
            <w:noWrap/>
            <w:vAlign w:val="center"/>
            <w:hideMark/>
          </w:tcPr>
          <w:p w14:paraId="00B9AD83"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6E422359" w14:textId="77777777" w:rsidR="00865307" w:rsidRPr="00865307" w:rsidRDefault="00865307" w:rsidP="008253C4">
            <w:pPr>
              <w:jc w:val="center"/>
              <w:rPr>
                <w:sz w:val="18"/>
                <w:szCs w:val="18"/>
              </w:rPr>
            </w:pPr>
          </w:p>
        </w:tc>
      </w:tr>
      <w:tr w:rsidR="00865307" w:rsidRPr="00865307" w14:paraId="77D468FF" w14:textId="77777777" w:rsidTr="008253C4">
        <w:trPr>
          <w:trHeight w:val="320"/>
        </w:trPr>
        <w:tc>
          <w:tcPr>
            <w:tcW w:w="283" w:type="dxa"/>
            <w:tcBorders>
              <w:top w:val="nil"/>
              <w:left w:val="nil"/>
              <w:bottom w:val="nil"/>
              <w:right w:val="nil"/>
            </w:tcBorders>
            <w:shd w:val="clear" w:color="auto" w:fill="auto"/>
            <w:noWrap/>
            <w:vAlign w:val="center"/>
            <w:hideMark/>
          </w:tcPr>
          <w:p w14:paraId="5E272A78"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1F9528F8"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385170BC" w14:textId="77777777" w:rsidR="00865307" w:rsidRPr="00865307" w:rsidRDefault="00865307" w:rsidP="008253C4">
            <w:pPr>
              <w:rPr>
                <w:color w:val="000000"/>
                <w:sz w:val="18"/>
                <w:szCs w:val="18"/>
              </w:rPr>
            </w:pPr>
            <w:r w:rsidRPr="00865307">
              <w:rPr>
                <w:color w:val="000000"/>
                <w:sz w:val="18"/>
                <w:szCs w:val="18"/>
              </w:rPr>
              <w:t>Male</w:t>
            </w:r>
          </w:p>
        </w:tc>
        <w:tc>
          <w:tcPr>
            <w:tcW w:w="1701" w:type="dxa"/>
            <w:tcBorders>
              <w:top w:val="nil"/>
              <w:left w:val="nil"/>
              <w:bottom w:val="nil"/>
              <w:right w:val="nil"/>
            </w:tcBorders>
            <w:shd w:val="clear" w:color="auto" w:fill="auto"/>
            <w:noWrap/>
            <w:vAlign w:val="center"/>
            <w:hideMark/>
          </w:tcPr>
          <w:p w14:paraId="275EB071" w14:textId="77777777" w:rsidR="00865307" w:rsidRPr="00865307" w:rsidRDefault="00865307" w:rsidP="008253C4">
            <w:pPr>
              <w:jc w:val="center"/>
              <w:rPr>
                <w:color w:val="000000"/>
                <w:sz w:val="18"/>
                <w:szCs w:val="18"/>
              </w:rPr>
            </w:pPr>
            <w:r w:rsidRPr="00865307">
              <w:rPr>
                <w:color w:val="000000"/>
                <w:sz w:val="18"/>
                <w:szCs w:val="18"/>
              </w:rPr>
              <w:t>95 (59.7%)</w:t>
            </w:r>
          </w:p>
        </w:tc>
        <w:tc>
          <w:tcPr>
            <w:tcW w:w="1417" w:type="dxa"/>
            <w:tcBorders>
              <w:top w:val="nil"/>
              <w:left w:val="nil"/>
              <w:bottom w:val="nil"/>
              <w:right w:val="nil"/>
            </w:tcBorders>
            <w:shd w:val="clear" w:color="auto" w:fill="auto"/>
            <w:noWrap/>
            <w:vAlign w:val="center"/>
            <w:hideMark/>
          </w:tcPr>
          <w:p w14:paraId="76A3B836" w14:textId="77777777" w:rsidR="00865307" w:rsidRPr="00865307" w:rsidRDefault="00865307" w:rsidP="008253C4">
            <w:pPr>
              <w:jc w:val="center"/>
              <w:rPr>
                <w:color w:val="000000"/>
                <w:sz w:val="18"/>
                <w:szCs w:val="18"/>
              </w:rPr>
            </w:pPr>
            <w:r w:rsidRPr="00865307">
              <w:rPr>
                <w:color w:val="000000"/>
                <w:sz w:val="18"/>
                <w:szCs w:val="18"/>
              </w:rPr>
              <w:t>55 (57.3%)</w:t>
            </w:r>
          </w:p>
        </w:tc>
        <w:tc>
          <w:tcPr>
            <w:tcW w:w="1418" w:type="dxa"/>
            <w:tcBorders>
              <w:top w:val="nil"/>
              <w:left w:val="nil"/>
              <w:bottom w:val="nil"/>
              <w:right w:val="nil"/>
            </w:tcBorders>
            <w:shd w:val="clear" w:color="auto" w:fill="auto"/>
            <w:noWrap/>
            <w:vAlign w:val="center"/>
            <w:hideMark/>
          </w:tcPr>
          <w:p w14:paraId="01DEF5AB" w14:textId="77777777" w:rsidR="00865307" w:rsidRPr="00865307" w:rsidRDefault="00865307" w:rsidP="008253C4">
            <w:pPr>
              <w:jc w:val="center"/>
              <w:rPr>
                <w:color w:val="000000"/>
                <w:sz w:val="18"/>
                <w:szCs w:val="18"/>
              </w:rPr>
            </w:pPr>
            <w:r w:rsidRPr="00865307">
              <w:rPr>
                <w:color w:val="000000"/>
                <w:sz w:val="18"/>
                <w:szCs w:val="18"/>
              </w:rPr>
              <w:t>7 (50.0%)</w:t>
            </w:r>
          </w:p>
        </w:tc>
        <w:tc>
          <w:tcPr>
            <w:tcW w:w="1417" w:type="dxa"/>
            <w:tcBorders>
              <w:top w:val="nil"/>
              <w:left w:val="nil"/>
              <w:bottom w:val="nil"/>
              <w:right w:val="nil"/>
            </w:tcBorders>
            <w:shd w:val="clear" w:color="auto" w:fill="auto"/>
            <w:noWrap/>
            <w:vAlign w:val="center"/>
            <w:hideMark/>
          </w:tcPr>
          <w:p w14:paraId="618352F2" w14:textId="77777777" w:rsidR="00865307" w:rsidRPr="00865307" w:rsidRDefault="00865307" w:rsidP="008253C4">
            <w:pPr>
              <w:jc w:val="center"/>
              <w:rPr>
                <w:color w:val="000000"/>
                <w:sz w:val="18"/>
                <w:szCs w:val="18"/>
              </w:rPr>
            </w:pPr>
            <w:r w:rsidRPr="00865307">
              <w:rPr>
                <w:color w:val="000000"/>
                <w:sz w:val="18"/>
                <w:szCs w:val="18"/>
              </w:rPr>
              <w:t>17 (60.7%)</w:t>
            </w:r>
          </w:p>
        </w:tc>
        <w:tc>
          <w:tcPr>
            <w:tcW w:w="1418" w:type="dxa"/>
            <w:tcBorders>
              <w:top w:val="nil"/>
              <w:left w:val="nil"/>
              <w:bottom w:val="nil"/>
              <w:right w:val="nil"/>
            </w:tcBorders>
            <w:shd w:val="clear" w:color="auto" w:fill="auto"/>
            <w:noWrap/>
            <w:vAlign w:val="center"/>
            <w:hideMark/>
          </w:tcPr>
          <w:p w14:paraId="0612061B" w14:textId="77777777" w:rsidR="00865307" w:rsidRPr="00865307" w:rsidRDefault="00865307" w:rsidP="008253C4">
            <w:pPr>
              <w:jc w:val="center"/>
              <w:rPr>
                <w:color w:val="000000"/>
                <w:sz w:val="18"/>
                <w:szCs w:val="18"/>
              </w:rPr>
            </w:pPr>
            <w:r w:rsidRPr="00865307">
              <w:rPr>
                <w:color w:val="000000"/>
                <w:sz w:val="18"/>
                <w:szCs w:val="18"/>
              </w:rPr>
              <w:t>16 (76.2%)</w:t>
            </w:r>
          </w:p>
        </w:tc>
        <w:tc>
          <w:tcPr>
            <w:tcW w:w="708" w:type="dxa"/>
            <w:tcBorders>
              <w:top w:val="nil"/>
              <w:left w:val="nil"/>
              <w:bottom w:val="nil"/>
              <w:right w:val="nil"/>
            </w:tcBorders>
            <w:shd w:val="clear" w:color="auto" w:fill="auto"/>
            <w:noWrap/>
            <w:vAlign w:val="center"/>
            <w:hideMark/>
          </w:tcPr>
          <w:p w14:paraId="7C80EB68"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78D3FE6C" w14:textId="77777777" w:rsidR="00865307" w:rsidRPr="00865307" w:rsidRDefault="00865307" w:rsidP="008253C4">
            <w:pPr>
              <w:jc w:val="center"/>
              <w:rPr>
                <w:sz w:val="18"/>
                <w:szCs w:val="18"/>
              </w:rPr>
            </w:pPr>
          </w:p>
        </w:tc>
      </w:tr>
      <w:tr w:rsidR="00865307" w:rsidRPr="00865307" w14:paraId="18B7BB2D" w14:textId="77777777" w:rsidTr="008253C4">
        <w:trPr>
          <w:trHeight w:val="320"/>
        </w:trPr>
        <w:tc>
          <w:tcPr>
            <w:tcW w:w="283" w:type="dxa"/>
            <w:tcBorders>
              <w:top w:val="nil"/>
              <w:left w:val="nil"/>
              <w:bottom w:val="nil"/>
              <w:right w:val="nil"/>
            </w:tcBorders>
            <w:shd w:val="clear" w:color="auto" w:fill="auto"/>
            <w:noWrap/>
            <w:vAlign w:val="center"/>
            <w:hideMark/>
          </w:tcPr>
          <w:p w14:paraId="2ACCF0E7"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1342A7E9" w14:textId="77777777" w:rsidR="00865307" w:rsidRPr="00865307" w:rsidRDefault="00865307" w:rsidP="008253C4">
            <w:pPr>
              <w:rPr>
                <w:color w:val="000000"/>
                <w:sz w:val="18"/>
                <w:szCs w:val="18"/>
              </w:rPr>
            </w:pPr>
            <w:r w:rsidRPr="00865307">
              <w:rPr>
                <w:color w:val="000000"/>
                <w:sz w:val="18"/>
                <w:szCs w:val="18"/>
              </w:rPr>
              <w:t>Age (years)</w:t>
            </w:r>
          </w:p>
        </w:tc>
        <w:tc>
          <w:tcPr>
            <w:tcW w:w="1701" w:type="dxa"/>
            <w:tcBorders>
              <w:top w:val="nil"/>
              <w:left w:val="nil"/>
              <w:bottom w:val="nil"/>
              <w:right w:val="nil"/>
            </w:tcBorders>
            <w:shd w:val="clear" w:color="auto" w:fill="auto"/>
            <w:noWrap/>
            <w:vAlign w:val="center"/>
            <w:hideMark/>
          </w:tcPr>
          <w:p w14:paraId="7F304EE3" w14:textId="77777777" w:rsidR="00865307" w:rsidRPr="00865307" w:rsidRDefault="00865307" w:rsidP="008253C4">
            <w:pPr>
              <w:jc w:val="center"/>
              <w:rPr>
                <w:color w:val="000000"/>
                <w:sz w:val="18"/>
                <w:szCs w:val="18"/>
              </w:rPr>
            </w:pPr>
            <w:r w:rsidRPr="00865307">
              <w:rPr>
                <w:color w:val="000000"/>
                <w:sz w:val="18"/>
                <w:szCs w:val="18"/>
              </w:rPr>
              <w:t>53.62 (10.75)</w:t>
            </w:r>
          </w:p>
        </w:tc>
        <w:tc>
          <w:tcPr>
            <w:tcW w:w="1417" w:type="dxa"/>
            <w:tcBorders>
              <w:top w:val="nil"/>
              <w:left w:val="nil"/>
              <w:bottom w:val="nil"/>
              <w:right w:val="nil"/>
            </w:tcBorders>
            <w:shd w:val="clear" w:color="auto" w:fill="auto"/>
            <w:noWrap/>
            <w:vAlign w:val="center"/>
            <w:hideMark/>
          </w:tcPr>
          <w:p w14:paraId="7B4F51F9" w14:textId="77777777" w:rsidR="00865307" w:rsidRPr="00865307" w:rsidRDefault="00865307" w:rsidP="008253C4">
            <w:pPr>
              <w:jc w:val="center"/>
              <w:rPr>
                <w:color w:val="000000"/>
                <w:sz w:val="18"/>
                <w:szCs w:val="18"/>
              </w:rPr>
            </w:pPr>
            <w:r w:rsidRPr="00865307">
              <w:rPr>
                <w:color w:val="000000"/>
                <w:sz w:val="18"/>
                <w:szCs w:val="18"/>
              </w:rPr>
              <w:t>53.17 (10.80)</w:t>
            </w:r>
          </w:p>
        </w:tc>
        <w:tc>
          <w:tcPr>
            <w:tcW w:w="1418" w:type="dxa"/>
            <w:tcBorders>
              <w:top w:val="nil"/>
              <w:left w:val="nil"/>
              <w:bottom w:val="nil"/>
              <w:right w:val="nil"/>
            </w:tcBorders>
            <w:shd w:val="clear" w:color="auto" w:fill="auto"/>
            <w:noWrap/>
            <w:vAlign w:val="center"/>
            <w:hideMark/>
          </w:tcPr>
          <w:p w14:paraId="2D08B2DF" w14:textId="77777777" w:rsidR="00865307" w:rsidRPr="00865307" w:rsidRDefault="00865307" w:rsidP="008253C4">
            <w:pPr>
              <w:jc w:val="center"/>
              <w:rPr>
                <w:color w:val="000000"/>
                <w:sz w:val="18"/>
                <w:szCs w:val="18"/>
              </w:rPr>
            </w:pPr>
            <w:r w:rsidRPr="00865307">
              <w:rPr>
                <w:color w:val="000000"/>
                <w:sz w:val="18"/>
                <w:szCs w:val="18"/>
              </w:rPr>
              <w:t>52.00 (9.36)</w:t>
            </w:r>
          </w:p>
        </w:tc>
        <w:tc>
          <w:tcPr>
            <w:tcW w:w="1417" w:type="dxa"/>
            <w:tcBorders>
              <w:top w:val="nil"/>
              <w:left w:val="nil"/>
              <w:bottom w:val="nil"/>
              <w:right w:val="nil"/>
            </w:tcBorders>
            <w:shd w:val="clear" w:color="auto" w:fill="auto"/>
            <w:noWrap/>
            <w:vAlign w:val="center"/>
            <w:hideMark/>
          </w:tcPr>
          <w:p w14:paraId="41C2E0C4" w14:textId="77777777" w:rsidR="00865307" w:rsidRPr="00865307" w:rsidRDefault="00865307" w:rsidP="008253C4">
            <w:pPr>
              <w:jc w:val="center"/>
              <w:rPr>
                <w:color w:val="000000"/>
                <w:sz w:val="18"/>
                <w:szCs w:val="18"/>
              </w:rPr>
            </w:pPr>
            <w:r w:rsidRPr="00865307">
              <w:rPr>
                <w:color w:val="000000"/>
                <w:sz w:val="18"/>
                <w:szCs w:val="18"/>
              </w:rPr>
              <w:t>53.07 (13.45)</w:t>
            </w:r>
          </w:p>
        </w:tc>
        <w:tc>
          <w:tcPr>
            <w:tcW w:w="1418" w:type="dxa"/>
            <w:tcBorders>
              <w:top w:val="nil"/>
              <w:left w:val="nil"/>
              <w:bottom w:val="nil"/>
              <w:right w:val="nil"/>
            </w:tcBorders>
            <w:shd w:val="clear" w:color="auto" w:fill="auto"/>
            <w:noWrap/>
            <w:vAlign w:val="center"/>
            <w:hideMark/>
          </w:tcPr>
          <w:p w14:paraId="6C358B2E" w14:textId="77777777" w:rsidR="00865307" w:rsidRPr="00865307" w:rsidRDefault="00865307" w:rsidP="008253C4">
            <w:pPr>
              <w:jc w:val="center"/>
              <w:rPr>
                <w:color w:val="000000"/>
                <w:sz w:val="18"/>
                <w:szCs w:val="18"/>
              </w:rPr>
            </w:pPr>
            <w:r w:rsidRPr="00865307">
              <w:rPr>
                <w:color w:val="000000"/>
                <w:sz w:val="18"/>
                <w:szCs w:val="18"/>
              </w:rPr>
              <w:t>57.52 (6.28)</w:t>
            </w:r>
          </w:p>
        </w:tc>
        <w:tc>
          <w:tcPr>
            <w:tcW w:w="708" w:type="dxa"/>
            <w:tcBorders>
              <w:top w:val="nil"/>
              <w:left w:val="nil"/>
              <w:bottom w:val="nil"/>
              <w:right w:val="nil"/>
            </w:tcBorders>
            <w:shd w:val="clear" w:color="auto" w:fill="auto"/>
            <w:noWrap/>
            <w:vAlign w:val="center"/>
            <w:hideMark/>
          </w:tcPr>
          <w:p w14:paraId="5D294497" w14:textId="77777777" w:rsidR="00865307" w:rsidRPr="00865307" w:rsidRDefault="00865307" w:rsidP="008253C4">
            <w:pPr>
              <w:jc w:val="center"/>
              <w:rPr>
                <w:color w:val="000000"/>
                <w:sz w:val="18"/>
                <w:szCs w:val="18"/>
              </w:rPr>
            </w:pPr>
            <w:r w:rsidRPr="00865307">
              <w:rPr>
                <w:color w:val="000000"/>
                <w:sz w:val="18"/>
                <w:szCs w:val="18"/>
              </w:rPr>
              <w:t>.346</w:t>
            </w:r>
          </w:p>
        </w:tc>
        <w:tc>
          <w:tcPr>
            <w:tcW w:w="709" w:type="dxa"/>
            <w:tcBorders>
              <w:top w:val="nil"/>
              <w:left w:val="nil"/>
              <w:bottom w:val="nil"/>
              <w:right w:val="nil"/>
            </w:tcBorders>
            <w:shd w:val="clear" w:color="auto" w:fill="auto"/>
            <w:noWrap/>
            <w:vAlign w:val="center"/>
            <w:hideMark/>
          </w:tcPr>
          <w:p w14:paraId="13394FD1" w14:textId="77777777" w:rsidR="00865307" w:rsidRPr="00865307" w:rsidRDefault="00865307" w:rsidP="008253C4">
            <w:pPr>
              <w:jc w:val="center"/>
              <w:rPr>
                <w:color w:val="000000"/>
                <w:sz w:val="18"/>
                <w:szCs w:val="18"/>
              </w:rPr>
            </w:pPr>
            <w:r w:rsidRPr="00865307">
              <w:rPr>
                <w:color w:val="000000"/>
                <w:sz w:val="18"/>
                <w:szCs w:val="18"/>
              </w:rPr>
              <w:t>0.02</w:t>
            </w:r>
          </w:p>
        </w:tc>
      </w:tr>
      <w:tr w:rsidR="00865307" w:rsidRPr="00865307" w14:paraId="2C9B8F50" w14:textId="77777777" w:rsidTr="008253C4">
        <w:trPr>
          <w:trHeight w:val="320"/>
        </w:trPr>
        <w:tc>
          <w:tcPr>
            <w:tcW w:w="283" w:type="dxa"/>
            <w:tcBorders>
              <w:top w:val="nil"/>
              <w:left w:val="nil"/>
              <w:bottom w:val="nil"/>
              <w:right w:val="nil"/>
            </w:tcBorders>
            <w:shd w:val="clear" w:color="auto" w:fill="auto"/>
            <w:noWrap/>
            <w:vAlign w:val="center"/>
            <w:hideMark/>
          </w:tcPr>
          <w:p w14:paraId="5B94744E" w14:textId="77777777" w:rsidR="00865307" w:rsidRPr="00865307" w:rsidRDefault="00865307" w:rsidP="008253C4">
            <w:pPr>
              <w:jc w:val="center"/>
              <w:rPr>
                <w:color w:val="000000"/>
                <w:sz w:val="18"/>
                <w:szCs w:val="18"/>
              </w:rPr>
            </w:pPr>
          </w:p>
        </w:tc>
        <w:tc>
          <w:tcPr>
            <w:tcW w:w="2553" w:type="dxa"/>
            <w:gridSpan w:val="2"/>
            <w:tcBorders>
              <w:top w:val="nil"/>
              <w:left w:val="nil"/>
              <w:bottom w:val="nil"/>
              <w:right w:val="nil"/>
            </w:tcBorders>
            <w:shd w:val="clear" w:color="auto" w:fill="auto"/>
            <w:noWrap/>
            <w:vAlign w:val="center"/>
            <w:hideMark/>
          </w:tcPr>
          <w:p w14:paraId="693EAEB3" w14:textId="77777777" w:rsidR="00865307" w:rsidRPr="00865307" w:rsidRDefault="00865307" w:rsidP="008253C4">
            <w:pPr>
              <w:rPr>
                <w:color w:val="000000"/>
                <w:sz w:val="18"/>
                <w:szCs w:val="18"/>
              </w:rPr>
            </w:pPr>
            <w:r w:rsidRPr="00865307">
              <w:rPr>
                <w:color w:val="000000"/>
                <w:sz w:val="18"/>
                <w:szCs w:val="18"/>
              </w:rPr>
              <w:t>Ethnicity</w:t>
            </w:r>
          </w:p>
        </w:tc>
        <w:tc>
          <w:tcPr>
            <w:tcW w:w="1701" w:type="dxa"/>
            <w:tcBorders>
              <w:top w:val="nil"/>
              <w:left w:val="nil"/>
              <w:bottom w:val="nil"/>
              <w:right w:val="nil"/>
            </w:tcBorders>
            <w:shd w:val="clear" w:color="auto" w:fill="auto"/>
            <w:noWrap/>
            <w:vAlign w:val="center"/>
            <w:hideMark/>
          </w:tcPr>
          <w:p w14:paraId="24C0E51E"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17226C71"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1EA6FBE7"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071A8006"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1EAE1503"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1768DBB9" w14:textId="77777777" w:rsidR="00865307" w:rsidRPr="00865307" w:rsidRDefault="00865307" w:rsidP="008253C4">
            <w:pPr>
              <w:jc w:val="center"/>
              <w:rPr>
                <w:color w:val="000000"/>
                <w:sz w:val="18"/>
                <w:szCs w:val="18"/>
              </w:rPr>
            </w:pPr>
            <w:r w:rsidRPr="00865307">
              <w:rPr>
                <w:color w:val="000000"/>
                <w:sz w:val="18"/>
                <w:szCs w:val="18"/>
              </w:rPr>
              <w:t>.746</w:t>
            </w:r>
          </w:p>
        </w:tc>
        <w:tc>
          <w:tcPr>
            <w:tcW w:w="709" w:type="dxa"/>
            <w:tcBorders>
              <w:top w:val="nil"/>
              <w:left w:val="nil"/>
              <w:bottom w:val="nil"/>
              <w:right w:val="nil"/>
            </w:tcBorders>
            <w:shd w:val="clear" w:color="auto" w:fill="auto"/>
            <w:noWrap/>
            <w:vAlign w:val="center"/>
            <w:hideMark/>
          </w:tcPr>
          <w:p w14:paraId="2CC2148F" w14:textId="77777777" w:rsidR="00865307" w:rsidRPr="00865307" w:rsidRDefault="00865307" w:rsidP="008253C4">
            <w:pPr>
              <w:jc w:val="center"/>
              <w:rPr>
                <w:color w:val="000000"/>
                <w:sz w:val="18"/>
                <w:szCs w:val="18"/>
              </w:rPr>
            </w:pPr>
            <w:r w:rsidRPr="00865307">
              <w:rPr>
                <w:color w:val="000000"/>
                <w:sz w:val="18"/>
                <w:szCs w:val="18"/>
              </w:rPr>
              <w:t>0.11</w:t>
            </w:r>
          </w:p>
        </w:tc>
      </w:tr>
      <w:tr w:rsidR="00865307" w:rsidRPr="00865307" w14:paraId="7FBB1374" w14:textId="77777777" w:rsidTr="008253C4">
        <w:trPr>
          <w:trHeight w:val="320"/>
        </w:trPr>
        <w:tc>
          <w:tcPr>
            <w:tcW w:w="283" w:type="dxa"/>
            <w:tcBorders>
              <w:top w:val="nil"/>
              <w:left w:val="nil"/>
              <w:bottom w:val="nil"/>
              <w:right w:val="nil"/>
            </w:tcBorders>
            <w:shd w:val="clear" w:color="auto" w:fill="auto"/>
            <w:noWrap/>
            <w:vAlign w:val="center"/>
            <w:hideMark/>
          </w:tcPr>
          <w:p w14:paraId="66D5AFF9"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2ECCE157"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04ED8014" w14:textId="77777777" w:rsidR="00865307" w:rsidRPr="00865307" w:rsidRDefault="00865307" w:rsidP="008253C4">
            <w:pPr>
              <w:rPr>
                <w:color w:val="000000"/>
                <w:sz w:val="18"/>
                <w:szCs w:val="18"/>
              </w:rPr>
            </w:pPr>
            <w:r w:rsidRPr="00865307">
              <w:rPr>
                <w:color w:val="000000"/>
                <w:sz w:val="18"/>
                <w:szCs w:val="18"/>
              </w:rPr>
              <w:t>Chinese</w:t>
            </w:r>
          </w:p>
        </w:tc>
        <w:tc>
          <w:tcPr>
            <w:tcW w:w="1701" w:type="dxa"/>
            <w:tcBorders>
              <w:top w:val="nil"/>
              <w:left w:val="nil"/>
              <w:bottom w:val="nil"/>
              <w:right w:val="nil"/>
            </w:tcBorders>
            <w:shd w:val="clear" w:color="auto" w:fill="auto"/>
            <w:noWrap/>
            <w:vAlign w:val="center"/>
            <w:hideMark/>
          </w:tcPr>
          <w:p w14:paraId="26573EF5" w14:textId="77777777" w:rsidR="00865307" w:rsidRPr="00865307" w:rsidRDefault="00865307" w:rsidP="008253C4">
            <w:pPr>
              <w:jc w:val="center"/>
              <w:rPr>
                <w:color w:val="000000"/>
                <w:sz w:val="18"/>
                <w:szCs w:val="18"/>
              </w:rPr>
            </w:pPr>
            <w:r w:rsidRPr="00865307">
              <w:rPr>
                <w:color w:val="000000"/>
                <w:sz w:val="18"/>
                <w:szCs w:val="18"/>
              </w:rPr>
              <w:t>78 (50.6%)</w:t>
            </w:r>
          </w:p>
        </w:tc>
        <w:tc>
          <w:tcPr>
            <w:tcW w:w="1417" w:type="dxa"/>
            <w:tcBorders>
              <w:top w:val="nil"/>
              <w:left w:val="nil"/>
              <w:bottom w:val="nil"/>
              <w:right w:val="nil"/>
            </w:tcBorders>
            <w:shd w:val="clear" w:color="auto" w:fill="auto"/>
            <w:noWrap/>
            <w:vAlign w:val="center"/>
            <w:hideMark/>
          </w:tcPr>
          <w:p w14:paraId="7C16FF9D" w14:textId="77777777" w:rsidR="00865307" w:rsidRPr="00865307" w:rsidRDefault="00865307" w:rsidP="008253C4">
            <w:pPr>
              <w:jc w:val="center"/>
              <w:rPr>
                <w:color w:val="000000"/>
                <w:sz w:val="18"/>
                <w:szCs w:val="18"/>
              </w:rPr>
            </w:pPr>
            <w:r w:rsidRPr="00865307">
              <w:rPr>
                <w:color w:val="000000"/>
                <w:sz w:val="18"/>
                <w:szCs w:val="18"/>
              </w:rPr>
              <w:t>44 (47.3%)</w:t>
            </w:r>
          </w:p>
        </w:tc>
        <w:tc>
          <w:tcPr>
            <w:tcW w:w="1418" w:type="dxa"/>
            <w:tcBorders>
              <w:top w:val="nil"/>
              <w:left w:val="nil"/>
              <w:bottom w:val="nil"/>
              <w:right w:val="nil"/>
            </w:tcBorders>
            <w:shd w:val="clear" w:color="auto" w:fill="auto"/>
            <w:noWrap/>
            <w:vAlign w:val="center"/>
            <w:hideMark/>
          </w:tcPr>
          <w:p w14:paraId="1959163C" w14:textId="77777777" w:rsidR="00865307" w:rsidRPr="00865307" w:rsidRDefault="00865307" w:rsidP="008253C4">
            <w:pPr>
              <w:jc w:val="center"/>
              <w:rPr>
                <w:color w:val="000000"/>
                <w:sz w:val="18"/>
                <w:szCs w:val="18"/>
              </w:rPr>
            </w:pPr>
            <w:r w:rsidRPr="00865307">
              <w:rPr>
                <w:color w:val="000000"/>
                <w:sz w:val="18"/>
                <w:szCs w:val="18"/>
              </w:rPr>
              <w:t>9 (64.3%)</w:t>
            </w:r>
          </w:p>
        </w:tc>
        <w:tc>
          <w:tcPr>
            <w:tcW w:w="1417" w:type="dxa"/>
            <w:tcBorders>
              <w:top w:val="nil"/>
              <w:left w:val="nil"/>
              <w:bottom w:val="nil"/>
              <w:right w:val="nil"/>
            </w:tcBorders>
            <w:shd w:val="clear" w:color="auto" w:fill="auto"/>
            <w:noWrap/>
            <w:vAlign w:val="center"/>
            <w:hideMark/>
          </w:tcPr>
          <w:p w14:paraId="09B6BA5E" w14:textId="77777777" w:rsidR="00865307" w:rsidRPr="00865307" w:rsidRDefault="00865307" w:rsidP="008253C4">
            <w:pPr>
              <w:jc w:val="center"/>
              <w:rPr>
                <w:color w:val="000000"/>
                <w:sz w:val="18"/>
                <w:szCs w:val="18"/>
              </w:rPr>
            </w:pPr>
            <w:r w:rsidRPr="00865307">
              <w:rPr>
                <w:color w:val="000000"/>
                <w:sz w:val="18"/>
                <w:szCs w:val="18"/>
              </w:rPr>
              <w:t>12 (46.2%)</w:t>
            </w:r>
          </w:p>
        </w:tc>
        <w:tc>
          <w:tcPr>
            <w:tcW w:w="1418" w:type="dxa"/>
            <w:tcBorders>
              <w:top w:val="nil"/>
              <w:left w:val="nil"/>
              <w:bottom w:val="nil"/>
              <w:right w:val="nil"/>
            </w:tcBorders>
            <w:shd w:val="clear" w:color="auto" w:fill="auto"/>
            <w:noWrap/>
            <w:vAlign w:val="center"/>
            <w:hideMark/>
          </w:tcPr>
          <w:p w14:paraId="42184EF6" w14:textId="77777777" w:rsidR="00865307" w:rsidRPr="00865307" w:rsidRDefault="00865307" w:rsidP="008253C4">
            <w:pPr>
              <w:jc w:val="center"/>
              <w:rPr>
                <w:color w:val="000000"/>
                <w:sz w:val="18"/>
                <w:szCs w:val="18"/>
              </w:rPr>
            </w:pPr>
            <w:r w:rsidRPr="00865307">
              <w:rPr>
                <w:color w:val="000000"/>
                <w:sz w:val="18"/>
                <w:szCs w:val="18"/>
              </w:rPr>
              <w:t>13 (61.9%)</w:t>
            </w:r>
          </w:p>
        </w:tc>
        <w:tc>
          <w:tcPr>
            <w:tcW w:w="708" w:type="dxa"/>
            <w:tcBorders>
              <w:top w:val="nil"/>
              <w:left w:val="nil"/>
              <w:bottom w:val="nil"/>
              <w:right w:val="nil"/>
            </w:tcBorders>
            <w:shd w:val="clear" w:color="auto" w:fill="auto"/>
            <w:noWrap/>
            <w:vAlign w:val="center"/>
            <w:hideMark/>
          </w:tcPr>
          <w:p w14:paraId="399A10A7"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667DB5FA" w14:textId="77777777" w:rsidR="00865307" w:rsidRPr="00865307" w:rsidRDefault="00865307" w:rsidP="008253C4">
            <w:pPr>
              <w:jc w:val="center"/>
              <w:rPr>
                <w:sz w:val="18"/>
                <w:szCs w:val="18"/>
              </w:rPr>
            </w:pPr>
          </w:p>
        </w:tc>
      </w:tr>
      <w:tr w:rsidR="00865307" w:rsidRPr="00865307" w14:paraId="40B89458" w14:textId="77777777" w:rsidTr="008253C4">
        <w:trPr>
          <w:trHeight w:val="320"/>
        </w:trPr>
        <w:tc>
          <w:tcPr>
            <w:tcW w:w="283" w:type="dxa"/>
            <w:tcBorders>
              <w:top w:val="nil"/>
              <w:left w:val="nil"/>
              <w:bottom w:val="nil"/>
              <w:right w:val="nil"/>
            </w:tcBorders>
            <w:shd w:val="clear" w:color="auto" w:fill="auto"/>
            <w:noWrap/>
            <w:vAlign w:val="center"/>
            <w:hideMark/>
          </w:tcPr>
          <w:p w14:paraId="46E64EF6"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0C701D18"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4418E082" w14:textId="77777777" w:rsidR="00865307" w:rsidRPr="00865307" w:rsidRDefault="00865307" w:rsidP="008253C4">
            <w:pPr>
              <w:rPr>
                <w:color w:val="000000"/>
                <w:sz w:val="18"/>
                <w:szCs w:val="18"/>
              </w:rPr>
            </w:pPr>
            <w:r w:rsidRPr="00865307">
              <w:rPr>
                <w:color w:val="000000"/>
                <w:sz w:val="18"/>
                <w:szCs w:val="18"/>
              </w:rPr>
              <w:t>Malay</w:t>
            </w:r>
          </w:p>
        </w:tc>
        <w:tc>
          <w:tcPr>
            <w:tcW w:w="1701" w:type="dxa"/>
            <w:tcBorders>
              <w:top w:val="nil"/>
              <w:left w:val="nil"/>
              <w:bottom w:val="nil"/>
              <w:right w:val="nil"/>
            </w:tcBorders>
            <w:shd w:val="clear" w:color="auto" w:fill="auto"/>
            <w:noWrap/>
            <w:vAlign w:val="center"/>
            <w:hideMark/>
          </w:tcPr>
          <w:p w14:paraId="0969BD50" w14:textId="77777777" w:rsidR="00865307" w:rsidRPr="00865307" w:rsidRDefault="00865307" w:rsidP="008253C4">
            <w:pPr>
              <w:jc w:val="center"/>
              <w:rPr>
                <w:color w:val="000000"/>
                <w:sz w:val="18"/>
                <w:szCs w:val="18"/>
              </w:rPr>
            </w:pPr>
            <w:r w:rsidRPr="00865307">
              <w:rPr>
                <w:color w:val="000000"/>
                <w:sz w:val="18"/>
                <w:szCs w:val="18"/>
              </w:rPr>
              <w:t>62 (40.3%)</w:t>
            </w:r>
          </w:p>
        </w:tc>
        <w:tc>
          <w:tcPr>
            <w:tcW w:w="1417" w:type="dxa"/>
            <w:tcBorders>
              <w:top w:val="nil"/>
              <w:left w:val="nil"/>
              <w:bottom w:val="nil"/>
              <w:right w:val="nil"/>
            </w:tcBorders>
            <w:shd w:val="clear" w:color="auto" w:fill="auto"/>
            <w:noWrap/>
            <w:vAlign w:val="center"/>
            <w:hideMark/>
          </w:tcPr>
          <w:p w14:paraId="3890509F" w14:textId="77777777" w:rsidR="00865307" w:rsidRPr="00865307" w:rsidRDefault="00865307" w:rsidP="008253C4">
            <w:pPr>
              <w:jc w:val="center"/>
              <w:rPr>
                <w:color w:val="000000"/>
                <w:sz w:val="18"/>
                <w:szCs w:val="18"/>
              </w:rPr>
            </w:pPr>
            <w:r w:rsidRPr="00865307">
              <w:rPr>
                <w:color w:val="000000"/>
                <w:sz w:val="18"/>
                <w:szCs w:val="18"/>
              </w:rPr>
              <w:t>41 (44.1%)</w:t>
            </w:r>
          </w:p>
        </w:tc>
        <w:tc>
          <w:tcPr>
            <w:tcW w:w="1418" w:type="dxa"/>
            <w:tcBorders>
              <w:top w:val="nil"/>
              <w:left w:val="nil"/>
              <w:bottom w:val="nil"/>
              <w:right w:val="nil"/>
            </w:tcBorders>
            <w:shd w:val="clear" w:color="auto" w:fill="auto"/>
            <w:noWrap/>
            <w:vAlign w:val="center"/>
            <w:hideMark/>
          </w:tcPr>
          <w:p w14:paraId="1371C433" w14:textId="77777777" w:rsidR="00865307" w:rsidRPr="00865307" w:rsidRDefault="00865307" w:rsidP="008253C4">
            <w:pPr>
              <w:jc w:val="center"/>
              <w:rPr>
                <w:color w:val="000000"/>
                <w:sz w:val="18"/>
                <w:szCs w:val="18"/>
              </w:rPr>
            </w:pPr>
            <w:r w:rsidRPr="00865307">
              <w:rPr>
                <w:color w:val="000000"/>
                <w:sz w:val="18"/>
                <w:szCs w:val="18"/>
              </w:rPr>
              <w:t>5 (35.7%)</w:t>
            </w:r>
          </w:p>
        </w:tc>
        <w:tc>
          <w:tcPr>
            <w:tcW w:w="1417" w:type="dxa"/>
            <w:tcBorders>
              <w:top w:val="nil"/>
              <w:left w:val="nil"/>
              <w:bottom w:val="nil"/>
              <w:right w:val="nil"/>
            </w:tcBorders>
            <w:shd w:val="clear" w:color="auto" w:fill="auto"/>
            <w:noWrap/>
            <w:vAlign w:val="center"/>
            <w:hideMark/>
          </w:tcPr>
          <w:p w14:paraId="0E80833D" w14:textId="77777777" w:rsidR="00865307" w:rsidRPr="00865307" w:rsidRDefault="00865307" w:rsidP="008253C4">
            <w:pPr>
              <w:jc w:val="center"/>
              <w:rPr>
                <w:color w:val="000000"/>
                <w:sz w:val="18"/>
                <w:szCs w:val="18"/>
              </w:rPr>
            </w:pPr>
            <w:r w:rsidRPr="00865307">
              <w:rPr>
                <w:color w:val="000000"/>
                <w:sz w:val="18"/>
                <w:szCs w:val="18"/>
              </w:rPr>
              <w:t>10 (38.5%)</w:t>
            </w:r>
          </w:p>
        </w:tc>
        <w:tc>
          <w:tcPr>
            <w:tcW w:w="1418" w:type="dxa"/>
            <w:tcBorders>
              <w:top w:val="nil"/>
              <w:left w:val="nil"/>
              <w:bottom w:val="nil"/>
              <w:right w:val="nil"/>
            </w:tcBorders>
            <w:shd w:val="clear" w:color="auto" w:fill="auto"/>
            <w:noWrap/>
            <w:vAlign w:val="center"/>
            <w:hideMark/>
          </w:tcPr>
          <w:p w14:paraId="7337832A" w14:textId="77777777" w:rsidR="00865307" w:rsidRPr="00865307" w:rsidRDefault="00865307" w:rsidP="008253C4">
            <w:pPr>
              <w:jc w:val="center"/>
              <w:rPr>
                <w:color w:val="000000"/>
                <w:sz w:val="18"/>
                <w:szCs w:val="18"/>
              </w:rPr>
            </w:pPr>
            <w:r w:rsidRPr="00865307">
              <w:rPr>
                <w:color w:val="000000"/>
                <w:sz w:val="18"/>
                <w:szCs w:val="18"/>
              </w:rPr>
              <w:t>6 (28.6%)</w:t>
            </w:r>
          </w:p>
        </w:tc>
        <w:tc>
          <w:tcPr>
            <w:tcW w:w="708" w:type="dxa"/>
            <w:tcBorders>
              <w:top w:val="nil"/>
              <w:left w:val="nil"/>
              <w:bottom w:val="nil"/>
              <w:right w:val="nil"/>
            </w:tcBorders>
            <w:shd w:val="clear" w:color="auto" w:fill="auto"/>
            <w:noWrap/>
            <w:vAlign w:val="center"/>
            <w:hideMark/>
          </w:tcPr>
          <w:p w14:paraId="33AFD174"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7B0317E5" w14:textId="77777777" w:rsidR="00865307" w:rsidRPr="00865307" w:rsidRDefault="00865307" w:rsidP="008253C4">
            <w:pPr>
              <w:jc w:val="center"/>
              <w:rPr>
                <w:sz w:val="18"/>
                <w:szCs w:val="18"/>
              </w:rPr>
            </w:pPr>
          </w:p>
        </w:tc>
      </w:tr>
      <w:tr w:rsidR="00865307" w:rsidRPr="00865307" w14:paraId="0A4016DC" w14:textId="77777777" w:rsidTr="008253C4">
        <w:trPr>
          <w:trHeight w:val="320"/>
        </w:trPr>
        <w:tc>
          <w:tcPr>
            <w:tcW w:w="283" w:type="dxa"/>
            <w:tcBorders>
              <w:top w:val="nil"/>
              <w:left w:val="nil"/>
              <w:bottom w:val="nil"/>
              <w:right w:val="nil"/>
            </w:tcBorders>
            <w:shd w:val="clear" w:color="auto" w:fill="auto"/>
            <w:noWrap/>
            <w:vAlign w:val="center"/>
            <w:hideMark/>
          </w:tcPr>
          <w:p w14:paraId="041FBA08"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50307203"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6D92C443" w14:textId="77777777" w:rsidR="00865307" w:rsidRPr="00865307" w:rsidRDefault="00865307" w:rsidP="008253C4">
            <w:pPr>
              <w:rPr>
                <w:color w:val="000000"/>
                <w:sz w:val="18"/>
                <w:szCs w:val="18"/>
              </w:rPr>
            </w:pPr>
            <w:r w:rsidRPr="00865307">
              <w:rPr>
                <w:color w:val="000000"/>
                <w:sz w:val="18"/>
                <w:szCs w:val="18"/>
              </w:rPr>
              <w:t>Indian</w:t>
            </w:r>
          </w:p>
        </w:tc>
        <w:tc>
          <w:tcPr>
            <w:tcW w:w="1701" w:type="dxa"/>
            <w:tcBorders>
              <w:top w:val="nil"/>
              <w:left w:val="nil"/>
              <w:bottom w:val="nil"/>
              <w:right w:val="nil"/>
            </w:tcBorders>
            <w:shd w:val="clear" w:color="auto" w:fill="auto"/>
            <w:noWrap/>
            <w:vAlign w:val="center"/>
            <w:hideMark/>
          </w:tcPr>
          <w:p w14:paraId="3280431D" w14:textId="77777777" w:rsidR="00865307" w:rsidRPr="00865307" w:rsidRDefault="00865307" w:rsidP="008253C4">
            <w:pPr>
              <w:jc w:val="center"/>
              <w:rPr>
                <w:color w:val="000000"/>
                <w:sz w:val="18"/>
                <w:szCs w:val="18"/>
              </w:rPr>
            </w:pPr>
            <w:r w:rsidRPr="00865307">
              <w:rPr>
                <w:color w:val="000000"/>
                <w:sz w:val="18"/>
                <w:szCs w:val="18"/>
              </w:rPr>
              <w:t>13 (8.4%)</w:t>
            </w:r>
          </w:p>
        </w:tc>
        <w:tc>
          <w:tcPr>
            <w:tcW w:w="1417" w:type="dxa"/>
            <w:tcBorders>
              <w:top w:val="nil"/>
              <w:left w:val="nil"/>
              <w:bottom w:val="nil"/>
              <w:right w:val="nil"/>
            </w:tcBorders>
            <w:shd w:val="clear" w:color="auto" w:fill="auto"/>
            <w:noWrap/>
            <w:vAlign w:val="center"/>
            <w:hideMark/>
          </w:tcPr>
          <w:p w14:paraId="7D9B8447" w14:textId="77777777" w:rsidR="00865307" w:rsidRPr="00865307" w:rsidRDefault="00865307" w:rsidP="008253C4">
            <w:pPr>
              <w:jc w:val="center"/>
              <w:rPr>
                <w:color w:val="000000"/>
                <w:sz w:val="18"/>
                <w:szCs w:val="18"/>
              </w:rPr>
            </w:pPr>
            <w:r w:rsidRPr="00865307">
              <w:rPr>
                <w:color w:val="000000"/>
                <w:sz w:val="18"/>
                <w:szCs w:val="18"/>
              </w:rPr>
              <w:t>7 (7.5%)</w:t>
            </w:r>
          </w:p>
        </w:tc>
        <w:tc>
          <w:tcPr>
            <w:tcW w:w="1418" w:type="dxa"/>
            <w:tcBorders>
              <w:top w:val="nil"/>
              <w:left w:val="nil"/>
              <w:bottom w:val="nil"/>
              <w:right w:val="nil"/>
            </w:tcBorders>
            <w:shd w:val="clear" w:color="auto" w:fill="auto"/>
            <w:noWrap/>
            <w:vAlign w:val="center"/>
            <w:hideMark/>
          </w:tcPr>
          <w:p w14:paraId="522E8257" w14:textId="77777777" w:rsidR="00865307" w:rsidRPr="00865307" w:rsidRDefault="00865307" w:rsidP="008253C4">
            <w:pPr>
              <w:jc w:val="center"/>
              <w:rPr>
                <w:color w:val="000000"/>
                <w:sz w:val="18"/>
                <w:szCs w:val="18"/>
              </w:rPr>
            </w:pPr>
            <w:r w:rsidRPr="00865307">
              <w:rPr>
                <w:color w:val="000000"/>
                <w:sz w:val="18"/>
                <w:szCs w:val="18"/>
              </w:rPr>
              <w:t>0 (0.0%)</w:t>
            </w:r>
          </w:p>
        </w:tc>
        <w:tc>
          <w:tcPr>
            <w:tcW w:w="1417" w:type="dxa"/>
            <w:tcBorders>
              <w:top w:val="nil"/>
              <w:left w:val="nil"/>
              <w:bottom w:val="nil"/>
              <w:right w:val="nil"/>
            </w:tcBorders>
            <w:shd w:val="clear" w:color="auto" w:fill="auto"/>
            <w:noWrap/>
            <w:vAlign w:val="center"/>
            <w:hideMark/>
          </w:tcPr>
          <w:p w14:paraId="5D4B28D5" w14:textId="77777777" w:rsidR="00865307" w:rsidRPr="00865307" w:rsidRDefault="00865307" w:rsidP="008253C4">
            <w:pPr>
              <w:jc w:val="center"/>
              <w:rPr>
                <w:color w:val="000000"/>
                <w:sz w:val="18"/>
                <w:szCs w:val="18"/>
              </w:rPr>
            </w:pPr>
            <w:r w:rsidRPr="00865307">
              <w:rPr>
                <w:color w:val="000000"/>
                <w:sz w:val="18"/>
                <w:szCs w:val="18"/>
              </w:rPr>
              <w:t>4 (15.4%)</w:t>
            </w:r>
          </w:p>
        </w:tc>
        <w:tc>
          <w:tcPr>
            <w:tcW w:w="1418" w:type="dxa"/>
            <w:tcBorders>
              <w:top w:val="nil"/>
              <w:left w:val="nil"/>
              <w:bottom w:val="nil"/>
              <w:right w:val="nil"/>
            </w:tcBorders>
            <w:shd w:val="clear" w:color="auto" w:fill="auto"/>
            <w:noWrap/>
            <w:vAlign w:val="center"/>
            <w:hideMark/>
          </w:tcPr>
          <w:p w14:paraId="276A5C6E" w14:textId="77777777" w:rsidR="00865307" w:rsidRPr="00865307" w:rsidRDefault="00865307" w:rsidP="008253C4">
            <w:pPr>
              <w:jc w:val="center"/>
              <w:rPr>
                <w:color w:val="000000"/>
                <w:sz w:val="18"/>
                <w:szCs w:val="18"/>
              </w:rPr>
            </w:pPr>
            <w:r w:rsidRPr="00865307">
              <w:rPr>
                <w:color w:val="000000"/>
                <w:sz w:val="18"/>
                <w:szCs w:val="18"/>
              </w:rPr>
              <w:t>2 (9.5%)</w:t>
            </w:r>
          </w:p>
        </w:tc>
        <w:tc>
          <w:tcPr>
            <w:tcW w:w="708" w:type="dxa"/>
            <w:tcBorders>
              <w:top w:val="nil"/>
              <w:left w:val="nil"/>
              <w:bottom w:val="nil"/>
              <w:right w:val="nil"/>
            </w:tcBorders>
            <w:shd w:val="clear" w:color="auto" w:fill="auto"/>
            <w:noWrap/>
            <w:vAlign w:val="center"/>
            <w:hideMark/>
          </w:tcPr>
          <w:p w14:paraId="3668B4C3"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69EB7DA5" w14:textId="77777777" w:rsidR="00865307" w:rsidRPr="00865307" w:rsidRDefault="00865307" w:rsidP="008253C4">
            <w:pPr>
              <w:jc w:val="center"/>
              <w:rPr>
                <w:sz w:val="18"/>
                <w:szCs w:val="18"/>
              </w:rPr>
            </w:pPr>
          </w:p>
        </w:tc>
      </w:tr>
      <w:tr w:rsidR="00865307" w:rsidRPr="00865307" w14:paraId="7BBEC48D" w14:textId="77777777" w:rsidTr="008253C4">
        <w:trPr>
          <w:trHeight w:val="320"/>
        </w:trPr>
        <w:tc>
          <w:tcPr>
            <w:tcW w:w="283" w:type="dxa"/>
            <w:tcBorders>
              <w:top w:val="nil"/>
              <w:left w:val="nil"/>
              <w:bottom w:val="nil"/>
              <w:right w:val="nil"/>
            </w:tcBorders>
            <w:shd w:val="clear" w:color="auto" w:fill="auto"/>
            <w:noWrap/>
            <w:vAlign w:val="center"/>
            <w:hideMark/>
          </w:tcPr>
          <w:p w14:paraId="57B9A952"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08A19FDC"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3B7E7212" w14:textId="77777777" w:rsidR="00865307" w:rsidRPr="00865307" w:rsidRDefault="00865307" w:rsidP="008253C4">
            <w:pPr>
              <w:rPr>
                <w:color w:val="000000"/>
                <w:sz w:val="18"/>
                <w:szCs w:val="18"/>
              </w:rPr>
            </w:pPr>
            <w:r w:rsidRPr="00865307">
              <w:rPr>
                <w:color w:val="000000"/>
                <w:sz w:val="18"/>
                <w:szCs w:val="18"/>
              </w:rPr>
              <w:t>Others</w:t>
            </w:r>
          </w:p>
        </w:tc>
        <w:tc>
          <w:tcPr>
            <w:tcW w:w="1701" w:type="dxa"/>
            <w:tcBorders>
              <w:top w:val="nil"/>
              <w:left w:val="nil"/>
              <w:bottom w:val="nil"/>
              <w:right w:val="nil"/>
            </w:tcBorders>
            <w:shd w:val="clear" w:color="auto" w:fill="auto"/>
            <w:noWrap/>
            <w:vAlign w:val="center"/>
            <w:hideMark/>
          </w:tcPr>
          <w:p w14:paraId="7CEAEA63" w14:textId="77777777" w:rsidR="00865307" w:rsidRPr="00865307" w:rsidRDefault="00865307" w:rsidP="008253C4">
            <w:pPr>
              <w:jc w:val="center"/>
              <w:rPr>
                <w:color w:val="000000"/>
                <w:sz w:val="18"/>
                <w:szCs w:val="18"/>
              </w:rPr>
            </w:pPr>
            <w:r w:rsidRPr="00865307">
              <w:rPr>
                <w:color w:val="000000"/>
                <w:sz w:val="18"/>
                <w:szCs w:val="18"/>
              </w:rPr>
              <w:t>1 (0.6%)</w:t>
            </w:r>
          </w:p>
        </w:tc>
        <w:tc>
          <w:tcPr>
            <w:tcW w:w="1417" w:type="dxa"/>
            <w:tcBorders>
              <w:top w:val="nil"/>
              <w:left w:val="nil"/>
              <w:bottom w:val="nil"/>
              <w:right w:val="nil"/>
            </w:tcBorders>
            <w:shd w:val="clear" w:color="auto" w:fill="auto"/>
            <w:noWrap/>
            <w:vAlign w:val="center"/>
            <w:hideMark/>
          </w:tcPr>
          <w:p w14:paraId="5B2ECD9A" w14:textId="77777777" w:rsidR="00865307" w:rsidRPr="00865307" w:rsidRDefault="00865307" w:rsidP="008253C4">
            <w:pPr>
              <w:jc w:val="center"/>
              <w:rPr>
                <w:color w:val="000000"/>
                <w:sz w:val="18"/>
                <w:szCs w:val="18"/>
              </w:rPr>
            </w:pPr>
            <w:r w:rsidRPr="00865307">
              <w:rPr>
                <w:color w:val="000000"/>
                <w:sz w:val="18"/>
                <w:szCs w:val="18"/>
              </w:rPr>
              <w:t>1 (1.1%)</w:t>
            </w:r>
          </w:p>
        </w:tc>
        <w:tc>
          <w:tcPr>
            <w:tcW w:w="1418" w:type="dxa"/>
            <w:tcBorders>
              <w:top w:val="nil"/>
              <w:left w:val="nil"/>
              <w:bottom w:val="nil"/>
              <w:right w:val="nil"/>
            </w:tcBorders>
            <w:shd w:val="clear" w:color="auto" w:fill="auto"/>
            <w:noWrap/>
            <w:vAlign w:val="center"/>
            <w:hideMark/>
          </w:tcPr>
          <w:p w14:paraId="2D926DAE" w14:textId="77777777" w:rsidR="00865307" w:rsidRPr="00865307" w:rsidRDefault="00865307" w:rsidP="008253C4">
            <w:pPr>
              <w:jc w:val="center"/>
              <w:rPr>
                <w:color w:val="000000"/>
                <w:sz w:val="18"/>
                <w:szCs w:val="18"/>
              </w:rPr>
            </w:pPr>
            <w:r w:rsidRPr="00865307">
              <w:rPr>
                <w:color w:val="000000"/>
                <w:sz w:val="18"/>
                <w:szCs w:val="18"/>
              </w:rPr>
              <w:t>0 (0.0%)</w:t>
            </w:r>
          </w:p>
        </w:tc>
        <w:tc>
          <w:tcPr>
            <w:tcW w:w="1417" w:type="dxa"/>
            <w:tcBorders>
              <w:top w:val="nil"/>
              <w:left w:val="nil"/>
              <w:bottom w:val="nil"/>
              <w:right w:val="nil"/>
            </w:tcBorders>
            <w:shd w:val="clear" w:color="auto" w:fill="auto"/>
            <w:noWrap/>
            <w:vAlign w:val="center"/>
            <w:hideMark/>
          </w:tcPr>
          <w:p w14:paraId="658672CB" w14:textId="77777777" w:rsidR="00865307" w:rsidRPr="00865307" w:rsidRDefault="00865307" w:rsidP="008253C4">
            <w:pPr>
              <w:jc w:val="center"/>
              <w:rPr>
                <w:color w:val="000000"/>
                <w:sz w:val="18"/>
                <w:szCs w:val="18"/>
              </w:rPr>
            </w:pPr>
            <w:r w:rsidRPr="00865307">
              <w:rPr>
                <w:color w:val="000000"/>
                <w:sz w:val="18"/>
                <w:szCs w:val="18"/>
              </w:rPr>
              <w:t>0 (0.0%)</w:t>
            </w:r>
          </w:p>
        </w:tc>
        <w:tc>
          <w:tcPr>
            <w:tcW w:w="1418" w:type="dxa"/>
            <w:tcBorders>
              <w:top w:val="nil"/>
              <w:left w:val="nil"/>
              <w:bottom w:val="nil"/>
              <w:right w:val="nil"/>
            </w:tcBorders>
            <w:shd w:val="clear" w:color="auto" w:fill="auto"/>
            <w:noWrap/>
            <w:vAlign w:val="center"/>
            <w:hideMark/>
          </w:tcPr>
          <w:p w14:paraId="71EEB3A1" w14:textId="77777777" w:rsidR="00865307" w:rsidRPr="00865307" w:rsidRDefault="00865307" w:rsidP="008253C4">
            <w:pPr>
              <w:jc w:val="center"/>
              <w:rPr>
                <w:color w:val="000000"/>
                <w:sz w:val="18"/>
                <w:szCs w:val="18"/>
              </w:rPr>
            </w:pPr>
            <w:r w:rsidRPr="00865307">
              <w:rPr>
                <w:color w:val="000000"/>
                <w:sz w:val="18"/>
                <w:szCs w:val="18"/>
              </w:rPr>
              <w:t>0 (0.0%)</w:t>
            </w:r>
          </w:p>
        </w:tc>
        <w:tc>
          <w:tcPr>
            <w:tcW w:w="708" w:type="dxa"/>
            <w:tcBorders>
              <w:top w:val="nil"/>
              <w:left w:val="nil"/>
              <w:bottom w:val="nil"/>
              <w:right w:val="nil"/>
            </w:tcBorders>
            <w:shd w:val="clear" w:color="auto" w:fill="auto"/>
            <w:noWrap/>
            <w:vAlign w:val="center"/>
            <w:hideMark/>
          </w:tcPr>
          <w:p w14:paraId="6D6E182E"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33A27DBF" w14:textId="77777777" w:rsidR="00865307" w:rsidRPr="00865307" w:rsidRDefault="00865307" w:rsidP="008253C4">
            <w:pPr>
              <w:jc w:val="center"/>
              <w:rPr>
                <w:sz w:val="18"/>
                <w:szCs w:val="18"/>
              </w:rPr>
            </w:pPr>
          </w:p>
        </w:tc>
      </w:tr>
      <w:tr w:rsidR="00865307" w:rsidRPr="00865307" w14:paraId="6CCD82B1" w14:textId="77777777" w:rsidTr="008253C4">
        <w:trPr>
          <w:trHeight w:val="320"/>
        </w:trPr>
        <w:tc>
          <w:tcPr>
            <w:tcW w:w="283" w:type="dxa"/>
            <w:tcBorders>
              <w:top w:val="nil"/>
              <w:left w:val="nil"/>
              <w:bottom w:val="nil"/>
              <w:right w:val="nil"/>
            </w:tcBorders>
            <w:shd w:val="clear" w:color="auto" w:fill="auto"/>
            <w:noWrap/>
            <w:vAlign w:val="center"/>
            <w:hideMark/>
          </w:tcPr>
          <w:p w14:paraId="60874FF4"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421331DC" w14:textId="77777777" w:rsidR="00865307" w:rsidRPr="00865307" w:rsidRDefault="00865307" w:rsidP="008253C4">
            <w:pPr>
              <w:rPr>
                <w:color w:val="000000"/>
                <w:sz w:val="18"/>
                <w:szCs w:val="18"/>
              </w:rPr>
            </w:pPr>
            <w:r w:rsidRPr="00865307">
              <w:rPr>
                <w:color w:val="000000"/>
                <w:sz w:val="18"/>
                <w:szCs w:val="18"/>
              </w:rPr>
              <w:t>Highest education</w:t>
            </w:r>
          </w:p>
        </w:tc>
        <w:tc>
          <w:tcPr>
            <w:tcW w:w="1701" w:type="dxa"/>
            <w:tcBorders>
              <w:top w:val="nil"/>
              <w:left w:val="nil"/>
              <w:bottom w:val="nil"/>
              <w:right w:val="nil"/>
            </w:tcBorders>
            <w:shd w:val="clear" w:color="auto" w:fill="auto"/>
            <w:noWrap/>
            <w:vAlign w:val="center"/>
            <w:hideMark/>
          </w:tcPr>
          <w:p w14:paraId="756CA62D"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643003B5"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210B1E3B"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4293915A"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323C1452"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45E45379" w14:textId="77777777" w:rsidR="00865307" w:rsidRPr="00865307" w:rsidRDefault="00865307" w:rsidP="008253C4">
            <w:pPr>
              <w:jc w:val="center"/>
              <w:rPr>
                <w:color w:val="000000"/>
                <w:sz w:val="18"/>
                <w:szCs w:val="18"/>
              </w:rPr>
            </w:pPr>
            <w:r w:rsidRPr="00865307">
              <w:rPr>
                <w:color w:val="000000"/>
                <w:sz w:val="18"/>
                <w:szCs w:val="18"/>
              </w:rPr>
              <w:t>.696</w:t>
            </w:r>
          </w:p>
        </w:tc>
        <w:tc>
          <w:tcPr>
            <w:tcW w:w="709" w:type="dxa"/>
            <w:tcBorders>
              <w:top w:val="nil"/>
              <w:left w:val="nil"/>
              <w:bottom w:val="nil"/>
              <w:right w:val="nil"/>
            </w:tcBorders>
            <w:shd w:val="clear" w:color="auto" w:fill="auto"/>
            <w:noWrap/>
            <w:vAlign w:val="center"/>
            <w:hideMark/>
          </w:tcPr>
          <w:p w14:paraId="63631FF2" w14:textId="77777777" w:rsidR="00865307" w:rsidRPr="00865307" w:rsidRDefault="00865307" w:rsidP="008253C4">
            <w:pPr>
              <w:jc w:val="center"/>
              <w:rPr>
                <w:color w:val="000000"/>
                <w:sz w:val="18"/>
                <w:szCs w:val="18"/>
              </w:rPr>
            </w:pPr>
            <w:r w:rsidRPr="00865307">
              <w:rPr>
                <w:color w:val="000000"/>
                <w:sz w:val="18"/>
                <w:szCs w:val="18"/>
              </w:rPr>
              <w:t>0.10</w:t>
            </w:r>
          </w:p>
        </w:tc>
      </w:tr>
      <w:tr w:rsidR="00865307" w:rsidRPr="00865307" w14:paraId="5B8B5D4A" w14:textId="77777777" w:rsidTr="008253C4">
        <w:trPr>
          <w:trHeight w:val="320"/>
        </w:trPr>
        <w:tc>
          <w:tcPr>
            <w:tcW w:w="283" w:type="dxa"/>
            <w:tcBorders>
              <w:top w:val="nil"/>
              <w:left w:val="nil"/>
              <w:bottom w:val="nil"/>
              <w:right w:val="nil"/>
            </w:tcBorders>
            <w:shd w:val="clear" w:color="auto" w:fill="auto"/>
            <w:noWrap/>
            <w:vAlign w:val="center"/>
            <w:hideMark/>
          </w:tcPr>
          <w:p w14:paraId="231BC334"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7B1C61F3"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0AE6B319" w14:textId="77777777" w:rsidR="00865307" w:rsidRPr="00865307" w:rsidRDefault="00865307" w:rsidP="008253C4">
            <w:pPr>
              <w:rPr>
                <w:color w:val="000000"/>
                <w:sz w:val="18"/>
                <w:szCs w:val="18"/>
              </w:rPr>
            </w:pPr>
            <w:r w:rsidRPr="00865307">
              <w:rPr>
                <w:color w:val="000000"/>
                <w:sz w:val="18"/>
                <w:szCs w:val="18"/>
              </w:rPr>
              <w:t>Secondary or lower</w:t>
            </w:r>
          </w:p>
        </w:tc>
        <w:tc>
          <w:tcPr>
            <w:tcW w:w="1701" w:type="dxa"/>
            <w:tcBorders>
              <w:top w:val="nil"/>
              <w:left w:val="nil"/>
              <w:bottom w:val="nil"/>
              <w:right w:val="nil"/>
            </w:tcBorders>
            <w:shd w:val="clear" w:color="auto" w:fill="auto"/>
            <w:noWrap/>
            <w:vAlign w:val="center"/>
            <w:hideMark/>
          </w:tcPr>
          <w:p w14:paraId="4F717776" w14:textId="77777777" w:rsidR="00865307" w:rsidRPr="00865307" w:rsidRDefault="00865307" w:rsidP="008253C4">
            <w:pPr>
              <w:jc w:val="center"/>
              <w:rPr>
                <w:color w:val="000000"/>
                <w:sz w:val="18"/>
                <w:szCs w:val="18"/>
              </w:rPr>
            </w:pPr>
            <w:r w:rsidRPr="00865307">
              <w:rPr>
                <w:color w:val="000000"/>
                <w:sz w:val="18"/>
                <w:szCs w:val="18"/>
              </w:rPr>
              <w:t>131 (82.9%)</w:t>
            </w:r>
          </w:p>
        </w:tc>
        <w:tc>
          <w:tcPr>
            <w:tcW w:w="1417" w:type="dxa"/>
            <w:tcBorders>
              <w:top w:val="nil"/>
              <w:left w:val="nil"/>
              <w:bottom w:val="nil"/>
              <w:right w:val="nil"/>
            </w:tcBorders>
            <w:shd w:val="clear" w:color="auto" w:fill="auto"/>
            <w:noWrap/>
            <w:vAlign w:val="center"/>
            <w:hideMark/>
          </w:tcPr>
          <w:p w14:paraId="4F00B83E" w14:textId="77777777" w:rsidR="00865307" w:rsidRPr="00865307" w:rsidRDefault="00865307" w:rsidP="008253C4">
            <w:pPr>
              <w:jc w:val="center"/>
              <w:rPr>
                <w:color w:val="000000"/>
                <w:sz w:val="18"/>
                <w:szCs w:val="18"/>
              </w:rPr>
            </w:pPr>
            <w:r w:rsidRPr="00865307">
              <w:rPr>
                <w:color w:val="000000"/>
                <w:sz w:val="18"/>
                <w:szCs w:val="18"/>
              </w:rPr>
              <w:t>78 (81.3%)</w:t>
            </w:r>
          </w:p>
        </w:tc>
        <w:tc>
          <w:tcPr>
            <w:tcW w:w="1418" w:type="dxa"/>
            <w:tcBorders>
              <w:top w:val="nil"/>
              <w:left w:val="nil"/>
              <w:bottom w:val="nil"/>
              <w:right w:val="nil"/>
            </w:tcBorders>
            <w:shd w:val="clear" w:color="auto" w:fill="auto"/>
            <w:noWrap/>
            <w:vAlign w:val="center"/>
            <w:hideMark/>
          </w:tcPr>
          <w:p w14:paraId="69A8FC36" w14:textId="77777777" w:rsidR="00865307" w:rsidRPr="00865307" w:rsidRDefault="00865307" w:rsidP="008253C4">
            <w:pPr>
              <w:jc w:val="center"/>
              <w:rPr>
                <w:color w:val="000000"/>
                <w:sz w:val="18"/>
                <w:szCs w:val="18"/>
              </w:rPr>
            </w:pPr>
            <w:r w:rsidRPr="00865307">
              <w:rPr>
                <w:color w:val="000000"/>
                <w:sz w:val="18"/>
                <w:szCs w:val="18"/>
              </w:rPr>
              <w:t>13 (92.9%)</w:t>
            </w:r>
          </w:p>
        </w:tc>
        <w:tc>
          <w:tcPr>
            <w:tcW w:w="1417" w:type="dxa"/>
            <w:tcBorders>
              <w:top w:val="nil"/>
              <w:left w:val="nil"/>
              <w:bottom w:val="nil"/>
              <w:right w:val="nil"/>
            </w:tcBorders>
            <w:shd w:val="clear" w:color="auto" w:fill="auto"/>
            <w:noWrap/>
            <w:vAlign w:val="center"/>
            <w:hideMark/>
          </w:tcPr>
          <w:p w14:paraId="12E08DB8" w14:textId="77777777" w:rsidR="00865307" w:rsidRPr="00865307" w:rsidRDefault="00865307" w:rsidP="008253C4">
            <w:pPr>
              <w:jc w:val="center"/>
              <w:rPr>
                <w:color w:val="000000"/>
                <w:sz w:val="18"/>
                <w:szCs w:val="18"/>
              </w:rPr>
            </w:pPr>
            <w:r w:rsidRPr="00865307">
              <w:rPr>
                <w:color w:val="000000"/>
                <w:sz w:val="18"/>
                <w:szCs w:val="18"/>
              </w:rPr>
              <w:t>24 (85.7%)</w:t>
            </w:r>
          </w:p>
        </w:tc>
        <w:tc>
          <w:tcPr>
            <w:tcW w:w="1418" w:type="dxa"/>
            <w:tcBorders>
              <w:top w:val="nil"/>
              <w:left w:val="nil"/>
              <w:bottom w:val="nil"/>
              <w:right w:val="nil"/>
            </w:tcBorders>
            <w:shd w:val="clear" w:color="auto" w:fill="auto"/>
            <w:noWrap/>
            <w:vAlign w:val="center"/>
            <w:hideMark/>
          </w:tcPr>
          <w:p w14:paraId="4BA9871D" w14:textId="77777777" w:rsidR="00865307" w:rsidRPr="00865307" w:rsidRDefault="00865307" w:rsidP="008253C4">
            <w:pPr>
              <w:jc w:val="center"/>
              <w:rPr>
                <w:color w:val="000000"/>
                <w:sz w:val="18"/>
                <w:szCs w:val="18"/>
              </w:rPr>
            </w:pPr>
            <w:r w:rsidRPr="00865307">
              <w:rPr>
                <w:color w:val="000000"/>
                <w:sz w:val="18"/>
                <w:szCs w:val="18"/>
              </w:rPr>
              <w:t>16 (80.0%)</w:t>
            </w:r>
          </w:p>
        </w:tc>
        <w:tc>
          <w:tcPr>
            <w:tcW w:w="708" w:type="dxa"/>
            <w:tcBorders>
              <w:top w:val="nil"/>
              <w:left w:val="nil"/>
              <w:bottom w:val="nil"/>
              <w:right w:val="nil"/>
            </w:tcBorders>
            <w:shd w:val="clear" w:color="auto" w:fill="auto"/>
            <w:noWrap/>
            <w:vAlign w:val="center"/>
            <w:hideMark/>
          </w:tcPr>
          <w:p w14:paraId="41B13103"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45B212E3" w14:textId="77777777" w:rsidR="00865307" w:rsidRPr="00865307" w:rsidRDefault="00865307" w:rsidP="008253C4">
            <w:pPr>
              <w:jc w:val="center"/>
              <w:rPr>
                <w:sz w:val="18"/>
                <w:szCs w:val="18"/>
              </w:rPr>
            </w:pPr>
          </w:p>
        </w:tc>
      </w:tr>
      <w:tr w:rsidR="00865307" w:rsidRPr="00865307" w14:paraId="23DB5EFD" w14:textId="77777777" w:rsidTr="008253C4">
        <w:trPr>
          <w:trHeight w:val="320"/>
        </w:trPr>
        <w:tc>
          <w:tcPr>
            <w:tcW w:w="283" w:type="dxa"/>
            <w:tcBorders>
              <w:top w:val="nil"/>
              <w:left w:val="nil"/>
              <w:bottom w:val="nil"/>
              <w:right w:val="nil"/>
            </w:tcBorders>
            <w:shd w:val="clear" w:color="auto" w:fill="auto"/>
            <w:noWrap/>
            <w:vAlign w:val="center"/>
            <w:hideMark/>
          </w:tcPr>
          <w:p w14:paraId="0C86BD06"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280E3A31"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44DB2751" w14:textId="77777777" w:rsidR="00865307" w:rsidRPr="00865307" w:rsidRDefault="00865307" w:rsidP="008253C4">
            <w:pPr>
              <w:rPr>
                <w:color w:val="000000"/>
                <w:sz w:val="18"/>
                <w:szCs w:val="18"/>
              </w:rPr>
            </w:pPr>
            <w:r w:rsidRPr="00865307">
              <w:rPr>
                <w:color w:val="000000"/>
                <w:sz w:val="18"/>
                <w:szCs w:val="18"/>
              </w:rPr>
              <w:t>Post-secondary or higher</w:t>
            </w:r>
          </w:p>
        </w:tc>
        <w:tc>
          <w:tcPr>
            <w:tcW w:w="1701" w:type="dxa"/>
            <w:tcBorders>
              <w:top w:val="nil"/>
              <w:left w:val="nil"/>
              <w:bottom w:val="nil"/>
              <w:right w:val="nil"/>
            </w:tcBorders>
            <w:shd w:val="clear" w:color="auto" w:fill="auto"/>
            <w:noWrap/>
            <w:vAlign w:val="center"/>
            <w:hideMark/>
          </w:tcPr>
          <w:p w14:paraId="26802D23" w14:textId="77777777" w:rsidR="00865307" w:rsidRPr="00865307" w:rsidRDefault="00865307" w:rsidP="008253C4">
            <w:pPr>
              <w:jc w:val="center"/>
              <w:rPr>
                <w:color w:val="000000"/>
                <w:sz w:val="18"/>
                <w:szCs w:val="18"/>
              </w:rPr>
            </w:pPr>
            <w:r w:rsidRPr="00865307">
              <w:rPr>
                <w:color w:val="000000"/>
                <w:sz w:val="18"/>
                <w:szCs w:val="18"/>
              </w:rPr>
              <w:t>27 (17.1%)</w:t>
            </w:r>
          </w:p>
        </w:tc>
        <w:tc>
          <w:tcPr>
            <w:tcW w:w="1417" w:type="dxa"/>
            <w:tcBorders>
              <w:top w:val="nil"/>
              <w:left w:val="nil"/>
              <w:bottom w:val="nil"/>
              <w:right w:val="nil"/>
            </w:tcBorders>
            <w:shd w:val="clear" w:color="auto" w:fill="auto"/>
            <w:noWrap/>
            <w:vAlign w:val="center"/>
            <w:hideMark/>
          </w:tcPr>
          <w:p w14:paraId="1E5061F9" w14:textId="77777777" w:rsidR="00865307" w:rsidRPr="00865307" w:rsidRDefault="00865307" w:rsidP="008253C4">
            <w:pPr>
              <w:jc w:val="center"/>
              <w:rPr>
                <w:color w:val="000000"/>
                <w:sz w:val="18"/>
                <w:szCs w:val="18"/>
              </w:rPr>
            </w:pPr>
            <w:r w:rsidRPr="00865307">
              <w:rPr>
                <w:color w:val="000000"/>
                <w:sz w:val="18"/>
                <w:szCs w:val="18"/>
              </w:rPr>
              <w:t>18 (18.8%)</w:t>
            </w:r>
          </w:p>
        </w:tc>
        <w:tc>
          <w:tcPr>
            <w:tcW w:w="1418" w:type="dxa"/>
            <w:tcBorders>
              <w:top w:val="nil"/>
              <w:left w:val="nil"/>
              <w:bottom w:val="nil"/>
              <w:right w:val="nil"/>
            </w:tcBorders>
            <w:shd w:val="clear" w:color="auto" w:fill="auto"/>
            <w:noWrap/>
            <w:vAlign w:val="center"/>
            <w:hideMark/>
          </w:tcPr>
          <w:p w14:paraId="0CCB4129" w14:textId="77777777" w:rsidR="00865307" w:rsidRPr="00865307" w:rsidRDefault="00865307" w:rsidP="008253C4">
            <w:pPr>
              <w:jc w:val="center"/>
              <w:rPr>
                <w:color w:val="000000"/>
                <w:sz w:val="18"/>
                <w:szCs w:val="18"/>
              </w:rPr>
            </w:pPr>
            <w:r w:rsidRPr="00865307">
              <w:rPr>
                <w:color w:val="000000"/>
                <w:sz w:val="18"/>
                <w:szCs w:val="18"/>
              </w:rPr>
              <w:t>1 (7.1%)</w:t>
            </w:r>
          </w:p>
        </w:tc>
        <w:tc>
          <w:tcPr>
            <w:tcW w:w="1417" w:type="dxa"/>
            <w:tcBorders>
              <w:top w:val="nil"/>
              <w:left w:val="nil"/>
              <w:bottom w:val="nil"/>
              <w:right w:val="nil"/>
            </w:tcBorders>
            <w:shd w:val="clear" w:color="auto" w:fill="auto"/>
            <w:noWrap/>
            <w:vAlign w:val="center"/>
            <w:hideMark/>
          </w:tcPr>
          <w:p w14:paraId="6C8F821B" w14:textId="77777777" w:rsidR="00865307" w:rsidRPr="00865307" w:rsidRDefault="00865307" w:rsidP="008253C4">
            <w:pPr>
              <w:jc w:val="center"/>
              <w:rPr>
                <w:color w:val="000000"/>
                <w:sz w:val="18"/>
                <w:szCs w:val="18"/>
              </w:rPr>
            </w:pPr>
            <w:r w:rsidRPr="00865307">
              <w:rPr>
                <w:color w:val="000000"/>
                <w:sz w:val="18"/>
                <w:szCs w:val="18"/>
              </w:rPr>
              <w:t>4 (14.3%)</w:t>
            </w:r>
          </w:p>
        </w:tc>
        <w:tc>
          <w:tcPr>
            <w:tcW w:w="1418" w:type="dxa"/>
            <w:tcBorders>
              <w:top w:val="nil"/>
              <w:left w:val="nil"/>
              <w:bottom w:val="nil"/>
              <w:right w:val="nil"/>
            </w:tcBorders>
            <w:shd w:val="clear" w:color="auto" w:fill="auto"/>
            <w:noWrap/>
            <w:vAlign w:val="center"/>
            <w:hideMark/>
          </w:tcPr>
          <w:p w14:paraId="587F3932" w14:textId="77777777" w:rsidR="00865307" w:rsidRPr="00865307" w:rsidRDefault="00865307" w:rsidP="008253C4">
            <w:pPr>
              <w:jc w:val="center"/>
              <w:rPr>
                <w:color w:val="000000"/>
                <w:sz w:val="18"/>
                <w:szCs w:val="18"/>
              </w:rPr>
            </w:pPr>
            <w:r w:rsidRPr="00865307">
              <w:rPr>
                <w:color w:val="000000"/>
                <w:sz w:val="18"/>
                <w:szCs w:val="18"/>
              </w:rPr>
              <w:t>4 (20.0%)</w:t>
            </w:r>
          </w:p>
        </w:tc>
        <w:tc>
          <w:tcPr>
            <w:tcW w:w="708" w:type="dxa"/>
            <w:tcBorders>
              <w:top w:val="nil"/>
              <w:left w:val="nil"/>
              <w:bottom w:val="nil"/>
              <w:right w:val="nil"/>
            </w:tcBorders>
            <w:shd w:val="clear" w:color="auto" w:fill="auto"/>
            <w:noWrap/>
            <w:vAlign w:val="center"/>
            <w:hideMark/>
          </w:tcPr>
          <w:p w14:paraId="23C228E1"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6AA700EC" w14:textId="77777777" w:rsidR="00865307" w:rsidRPr="00865307" w:rsidRDefault="00865307" w:rsidP="008253C4">
            <w:pPr>
              <w:jc w:val="center"/>
              <w:rPr>
                <w:sz w:val="18"/>
                <w:szCs w:val="18"/>
              </w:rPr>
            </w:pPr>
          </w:p>
        </w:tc>
      </w:tr>
      <w:tr w:rsidR="00865307" w:rsidRPr="00865307" w14:paraId="4719603B" w14:textId="77777777" w:rsidTr="008253C4">
        <w:trPr>
          <w:trHeight w:val="320"/>
        </w:trPr>
        <w:tc>
          <w:tcPr>
            <w:tcW w:w="283" w:type="dxa"/>
            <w:tcBorders>
              <w:top w:val="nil"/>
              <w:left w:val="nil"/>
              <w:bottom w:val="nil"/>
              <w:right w:val="nil"/>
            </w:tcBorders>
            <w:shd w:val="clear" w:color="auto" w:fill="auto"/>
            <w:noWrap/>
            <w:vAlign w:val="center"/>
            <w:hideMark/>
          </w:tcPr>
          <w:p w14:paraId="31D7D00D"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3F5548C8" w14:textId="77777777" w:rsidR="00865307" w:rsidRPr="00865307" w:rsidRDefault="00865307" w:rsidP="008253C4">
            <w:pPr>
              <w:rPr>
                <w:color w:val="000000"/>
                <w:sz w:val="18"/>
                <w:szCs w:val="18"/>
              </w:rPr>
            </w:pPr>
            <w:r w:rsidRPr="00865307">
              <w:rPr>
                <w:color w:val="000000"/>
                <w:sz w:val="18"/>
                <w:szCs w:val="18"/>
              </w:rPr>
              <w:t>Relationship status</w:t>
            </w:r>
          </w:p>
        </w:tc>
        <w:tc>
          <w:tcPr>
            <w:tcW w:w="1701" w:type="dxa"/>
            <w:tcBorders>
              <w:top w:val="nil"/>
              <w:left w:val="nil"/>
              <w:bottom w:val="nil"/>
              <w:right w:val="nil"/>
            </w:tcBorders>
            <w:shd w:val="clear" w:color="auto" w:fill="auto"/>
            <w:noWrap/>
            <w:vAlign w:val="center"/>
            <w:hideMark/>
          </w:tcPr>
          <w:p w14:paraId="45D5F420"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3C0356CD"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6725D4E1"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3164B6D9"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7FC76703"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1FC7E989" w14:textId="77777777" w:rsidR="00865307" w:rsidRPr="00865307" w:rsidRDefault="00865307" w:rsidP="008253C4">
            <w:pPr>
              <w:jc w:val="center"/>
              <w:rPr>
                <w:color w:val="000000"/>
                <w:sz w:val="18"/>
                <w:szCs w:val="18"/>
              </w:rPr>
            </w:pPr>
            <w:r w:rsidRPr="00865307">
              <w:rPr>
                <w:color w:val="000000"/>
                <w:sz w:val="18"/>
                <w:szCs w:val="18"/>
              </w:rPr>
              <w:t>.315</w:t>
            </w:r>
          </w:p>
        </w:tc>
        <w:tc>
          <w:tcPr>
            <w:tcW w:w="709" w:type="dxa"/>
            <w:tcBorders>
              <w:top w:val="nil"/>
              <w:left w:val="nil"/>
              <w:bottom w:val="nil"/>
              <w:right w:val="nil"/>
            </w:tcBorders>
            <w:shd w:val="clear" w:color="auto" w:fill="auto"/>
            <w:noWrap/>
            <w:vAlign w:val="center"/>
            <w:hideMark/>
          </w:tcPr>
          <w:p w14:paraId="5356E198" w14:textId="77777777" w:rsidR="00865307" w:rsidRPr="00865307" w:rsidRDefault="00865307" w:rsidP="008253C4">
            <w:pPr>
              <w:jc w:val="center"/>
              <w:rPr>
                <w:color w:val="000000"/>
                <w:sz w:val="18"/>
                <w:szCs w:val="18"/>
              </w:rPr>
            </w:pPr>
            <w:r w:rsidRPr="00865307">
              <w:rPr>
                <w:color w:val="000000"/>
                <w:sz w:val="18"/>
                <w:szCs w:val="18"/>
              </w:rPr>
              <w:t>0.15</w:t>
            </w:r>
          </w:p>
        </w:tc>
      </w:tr>
      <w:tr w:rsidR="00865307" w:rsidRPr="00865307" w14:paraId="6959C8D0" w14:textId="77777777" w:rsidTr="008253C4">
        <w:trPr>
          <w:trHeight w:val="320"/>
        </w:trPr>
        <w:tc>
          <w:tcPr>
            <w:tcW w:w="283" w:type="dxa"/>
            <w:tcBorders>
              <w:top w:val="nil"/>
              <w:left w:val="nil"/>
              <w:bottom w:val="nil"/>
              <w:right w:val="nil"/>
            </w:tcBorders>
            <w:shd w:val="clear" w:color="auto" w:fill="auto"/>
            <w:noWrap/>
            <w:vAlign w:val="center"/>
            <w:hideMark/>
          </w:tcPr>
          <w:p w14:paraId="338D935F"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595B787B"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2529DFC6" w14:textId="77777777" w:rsidR="00865307" w:rsidRPr="00865307" w:rsidRDefault="00865307" w:rsidP="008253C4">
            <w:pPr>
              <w:rPr>
                <w:color w:val="000000"/>
                <w:sz w:val="18"/>
                <w:szCs w:val="18"/>
              </w:rPr>
            </w:pPr>
            <w:r w:rsidRPr="00865307">
              <w:rPr>
                <w:color w:val="000000"/>
                <w:sz w:val="18"/>
                <w:szCs w:val="18"/>
              </w:rPr>
              <w:t>In a relationship</w:t>
            </w:r>
          </w:p>
        </w:tc>
        <w:tc>
          <w:tcPr>
            <w:tcW w:w="1701" w:type="dxa"/>
            <w:tcBorders>
              <w:top w:val="nil"/>
              <w:left w:val="nil"/>
              <w:bottom w:val="nil"/>
              <w:right w:val="nil"/>
            </w:tcBorders>
            <w:shd w:val="clear" w:color="auto" w:fill="auto"/>
            <w:noWrap/>
            <w:vAlign w:val="center"/>
            <w:hideMark/>
          </w:tcPr>
          <w:p w14:paraId="527A87A5" w14:textId="77777777" w:rsidR="00865307" w:rsidRPr="00865307" w:rsidRDefault="00865307" w:rsidP="008253C4">
            <w:pPr>
              <w:jc w:val="center"/>
              <w:rPr>
                <w:color w:val="000000"/>
                <w:sz w:val="18"/>
                <w:szCs w:val="18"/>
              </w:rPr>
            </w:pPr>
            <w:r w:rsidRPr="00865307">
              <w:rPr>
                <w:color w:val="000000"/>
                <w:sz w:val="18"/>
                <w:szCs w:val="18"/>
              </w:rPr>
              <w:t>112 (70.4%)</w:t>
            </w:r>
          </w:p>
        </w:tc>
        <w:tc>
          <w:tcPr>
            <w:tcW w:w="1417" w:type="dxa"/>
            <w:tcBorders>
              <w:top w:val="nil"/>
              <w:left w:val="nil"/>
              <w:bottom w:val="nil"/>
              <w:right w:val="nil"/>
            </w:tcBorders>
            <w:shd w:val="clear" w:color="auto" w:fill="auto"/>
            <w:noWrap/>
            <w:vAlign w:val="center"/>
            <w:hideMark/>
          </w:tcPr>
          <w:p w14:paraId="41B2A12E" w14:textId="77777777" w:rsidR="00865307" w:rsidRPr="00865307" w:rsidRDefault="00865307" w:rsidP="008253C4">
            <w:pPr>
              <w:jc w:val="center"/>
              <w:rPr>
                <w:color w:val="000000"/>
                <w:sz w:val="18"/>
                <w:szCs w:val="18"/>
              </w:rPr>
            </w:pPr>
            <w:r w:rsidRPr="00865307">
              <w:rPr>
                <w:color w:val="000000"/>
                <w:sz w:val="18"/>
                <w:szCs w:val="18"/>
              </w:rPr>
              <w:t>64 (66.7%)</w:t>
            </w:r>
          </w:p>
        </w:tc>
        <w:tc>
          <w:tcPr>
            <w:tcW w:w="1418" w:type="dxa"/>
            <w:tcBorders>
              <w:top w:val="nil"/>
              <w:left w:val="nil"/>
              <w:bottom w:val="nil"/>
              <w:right w:val="nil"/>
            </w:tcBorders>
            <w:shd w:val="clear" w:color="auto" w:fill="auto"/>
            <w:noWrap/>
            <w:vAlign w:val="center"/>
            <w:hideMark/>
          </w:tcPr>
          <w:p w14:paraId="7CDE2C30" w14:textId="77777777" w:rsidR="00865307" w:rsidRPr="00865307" w:rsidRDefault="00865307" w:rsidP="008253C4">
            <w:pPr>
              <w:jc w:val="center"/>
              <w:rPr>
                <w:color w:val="000000"/>
                <w:sz w:val="18"/>
                <w:szCs w:val="18"/>
              </w:rPr>
            </w:pPr>
            <w:r w:rsidRPr="00865307">
              <w:rPr>
                <w:color w:val="000000"/>
                <w:sz w:val="18"/>
                <w:szCs w:val="18"/>
              </w:rPr>
              <w:t>9 (64.3%)</w:t>
            </w:r>
          </w:p>
        </w:tc>
        <w:tc>
          <w:tcPr>
            <w:tcW w:w="1417" w:type="dxa"/>
            <w:tcBorders>
              <w:top w:val="nil"/>
              <w:left w:val="nil"/>
              <w:bottom w:val="nil"/>
              <w:right w:val="nil"/>
            </w:tcBorders>
            <w:shd w:val="clear" w:color="auto" w:fill="auto"/>
            <w:noWrap/>
            <w:vAlign w:val="center"/>
            <w:hideMark/>
          </w:tcPr>
          <w:p w14:paraId="72521C67" w14:textId="77777777" w:rsidR="00865307" w:rsidRPr="00865307" w:rsidRDefault="00865307" w:rsidP="008253C4">
            <w:pPr>
              <w:jc w:val="center"/>
              <w:rPr>
                <w:color w:val="000000"/>
                <w:sz w:val="18"/>
                <w:szCs w:val="18"/>
              </w:rPr>
            </w:pPr>
            <w:r w:rsidRPr="00865307">
              <w:rPr>
                <w:color w:val="000000"/>
                <w:sz w:val="18"/>
                <w:szCs w:val="18"/>
              </w:rPr>
              <w:t>21 (75.0%)</w:t>
            </w:r>
          </w:p>
        </w:tc>
        <w:tc>
          <w:tcPr>
            <w:tcW w:w="1418" w:type="dxa"/>
            <w:tcBorders>
              <w:top w:val="nil"/>
              <w:left w:val="nil"/>
              <w:bottom w:val="nil"/>
              <w:right w:val="nil"/>
            </w:tcBorders>
            <w:shd w:val="clear" w:color="auto" w:fill="auto"/>
            <w:noWrap/>
            <w:vAlign w:val="center"/>
            <w:hideMark/>
          </w:tcPr>
          <w:p w14:paraId="53189C12" w14:textId="77777777" w:rsidR="00865307" w:rsidRPr="00865307" w:rsidRDefault="00865307" w:rsidP="008253C4">
            <w:pPr>
              <w:jc w:val="center"/>
              <w:rPr>
                <w:color w:val="000000"/>
                <w:sz w:val="18"/>
                <w:szCs w:val="18"/>
              </w:rPr>
            </w:pPr>
            <w:r w:rsidRPr="00865307">
              <w:rPr>
                <w:color w:val="000000"/>
                <w:sz w:val="18"/>
                <w:szCs w:val="18"/>
              </w:rPr>
              <w:t>18 (85.7%)</w:t>
            </w:r>
          </w:p>
        </w:tc>
        <w:tc>
          <w:tcPr>
            <w:tcW w:w="708" w:type="dxa"/>
            <w:tcBorders>
              <w:top w:val="nil"/>
              <w:left w:val="nil"/>
              <w:bottom w:val="nil"/>
              <w:right w:val="nil"/>
            </w:tcBorders>
            <w:shd w:val="clear" w:color="auto" w:fill="auto"/>
            <w:noWrap/>
            <w:vAlign w:val="center"/>
            <w:hideMark/>
          </w:tcPr>
          <w:p w14:paraId="722833BB"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0B557AEF" w14:textId="77777777" w:rsidR="00865307" w:rsidRPr="00865307" w:rsidRDefault="00865307" w:rsidP="008253C4">
            <w:pPr>
              <w:jc w:val="center"/>
              <w:rPr>
                <w:sz w:val="18"/>
                <w:szCs w:val="18"/>
              </w:rPr>
            </w:pPr>
          </w:p>
        </w:tc>
      </w:tr>
      <w:tr w:rsidR="00865307" w:rsidRPr="00865307" w14:paraId="65B21E4C" w14:textId="77777777" w:rsidTr="008253C4">
        <w:trPr>
          <w:trHeight w:val="320"/>
        </w:trPr>
        <w:tc>
          <w:tcPr>
            <w:tcW w:w="283" w:type="dxa"/>
            <w:tcBorders>
              <w:top w:val="nil"/>
              <w:left w:val="nil"/>
              <w:bottom w:val="nil"/>
              <w:right w:val="nil"/>
            </w:tcBorders>
            <w:shd w:val="clear" w:color="auto" w:fill="auto"/>
            <w:noWrap/>
            <w:vAlign w:val="center"/>
            <w:hideMark/>
          </w:tcPr>
          <w:p w14:paraId="3479B0ED"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3B853403"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00292E9C" w14:textId="77777777" w:rsidR="00865307" w:rsidRPr="00865307" w:rsidRDefault="00865307" w:rsidP="008253C4">
            <w:pPr>
              <w:rPr>
                <w:color w:val="000000"/>
                <w:sz w:val="18"/>
                <w:szCs w:val="18"/>
              </w:rPr>
            </w:pPr>
            <w:r w:rsidRPr="00865307">
              <w:rPr>
                <w:color w:val="000000"/>
                <w:sz w:val="18"/>
                <w:szCs w:val="18"/>
              </w:rPr>
              <w:t>Not in a relationship</w:t>
            </w:r>
          </w:p>
        </w:tc>
        <w:tc>
          <w:tcPr>
            <w:tcW w:w="1701" w:type="dxa"/>
            <w:tcBorders>
              <w:top w:val="nil"/>
              <w:left w:val="nil"/>
              <w:bottom w:val="nil"/>
              <w:right w:val="nil"/>
            </w:tcBorders>
            <w:shd w:val="clear" w:color="auto" w:fill="auto"/>
            <w:noWrap/>
            <w:vAlign w:val="center"/>
            <w:hideMark/>
          </w:tcPr>
          <w:p w14:paraId="46EDD024" w14:textId="77777777" w:rsidR="00865307" w:rsidRPr="00865307" w:rsidRDefault="00865307" w:rsidP="008253C4">
            <w:pPr>
              <w:jc w:val="center"/>
              <w:rPr>
                <w:color w:val="000000"/>
                <w:sz w:val="18"/>
                <w:szCs w:val="18"/>
              </w:rPr>
            </w:pPr>
            <w:r w:rsidRPr="00865307">
              <w:rPr>
                <w:color w:val="000000"/>
                <w:sz w:val="18"/>
                <w:szCs w:val="18"/>
              </w:rPr>
              <w:t>47 (29.6%)</w:t>
            </w:r>
          </w:p>
        </w:tc>
        <w:tc>
          <w:tcPr>
            <w:tcW w:w="1417" w:type="dxa"/>
            <w:tcBorders>
              <w:top w:val="nil"/>
              <w:left w:val="nil"/>
              <w:bottom w:val="nil"/>
              <w:right w:val="nil"/>
            </w:tcBorders>
            <w:shd w:val="clear" w:color="auto" w:fill="auto"/>
            <w:noWrap/>
            <w:vAlign w:val="center"/>
            <w:hideMark/>
          </w:tcPr>
          <w:p w14:paraId="2C56DB22" w14:textId="77777777" w:rsidR="00865307" w:rsidRPr="00865307" w:rsidRDefault="00865307" w:rsidP="008253C4">
            <w:pPr>
              <w:jc w:val="center"/>
              <w:rPr>
                <w:color w:val="000000"/>
                <w:sz w:val="18"/>
                <w:szCs w:val="18"/>
              </w:rPr>
            </w:pPr>
            <w:r w:rsidRPr="00865307">
              <w:rPr>
                <w:color w:val="000000"/>
                <w:sz w:val="18"/>
                <w:szCs w:val="18"/>
              </w:rPr>
              <w:t>32 (33.3%)</w:t>
            </w:r>
          </w:p>
        </w:tc>
        <w:tc>
          <w:tcPr>
            <w:tcW w:w="1418" w:type="dxa"/>
            <w:tcBorders>
              <w:top w:val="nil"/>
              <w:left w:val="nil"/>
              <w:bottom w:val="nil"/>
              <w:right w:val="nil"/>
            </w:tcBorders>
            <w:shd w:val="clear" w:color="auto" w:fill="auto"/>
            <w:noWrap/>
            <w:vAlign w:val="center"/>
            <w:hideMark/>
          </w:tcPr>
          <w:p w14:paraId="1B21785A" w14:textId="77777777" w:rsidR="00865307" w:rsidRPr="00865307" w:rsidRDefault="00865307" w:rsidP="008253C4">
            <w:pPr>
              <w:jc w:val="center"/>
              <w:rPr>
                <w:color w:val="000000"/>
                <w:sz w:val="18"/>
                <w:szCs w:val="18"/>
              </w:rPr>
            </w:pPr>
            <w:r w:rsidRPr="00865307">
              <w:rPr>
                <w:color w:val="000000"/>
                <w:sz w:val="18"/>
                <w:szCs w:val="18"/>
              </w:rPr>
              <w:t>5 (35.7%)</w:t>
            </w:r>
          </w:p>
        </w:tc>
        <w:tc>
          <w:tcPr>
            <w:tcW w:w="1417" w:type="dxa"/>
            <w:tcBorders>
              <w:top w:val="nil"/>
              <w:left w:val="nil"/>
              <w:bottom w:val="nil"/>
              <w:right w:val="nil"/>
            </w:tcBorders>
            <w:shd w:val="clear" w:color="auto" w:fill="auto"/>
            <w:noWrap/>
            <w:vAlign w:val="center"/>
            <w:hideMark/>
          </w:tcPr>
          <w:p w14:paraId="6E12D5BB" w14:textId="77777777" w:rsidR="00865307" w:rsidRPr="00865307" w:rsidRDefault="00865307" w:rsidP="008253C4">
            <w:pPr>
              <w:jc w:val="center"/>
              <w:rPr>
                <w:color w:val="000000"/>
                <w:sz w:val="18"/>
                <w:szCs w:val="18"/>
              </w:rPr>
            </w:pPr>
            <w:r w:rsidRPr="00865307">
              <w:rPr>
                <w:color w:val="000000"/>
                <w:sz w:val="18"/>
                <w:szCs w:val="18"/>
              </w:rPr>
              <w:t>7 (25.0%)</w:t>
            </w:r>
          </w:p>
        </w:tc>
        <w:tc>
          <w:tcPr>
            <w:tcW w:w="1418" w:type="dxa"/>
            <w:tcBorders>
              <w:top w:val="nil"/>
              <w:left w:val="nil"/>
              <w:bottom w:val="nil"/>
              <w:right w:val="nil"/>
            </w:tcBorders>
            <w:shd w:val="clear" w:color="auto" w:fill="auto"/>
            <w:noWrap/>
            <w:vAlign w:val="center"/>
            <w:hideMark/>
          </w:tcPr>
          <w:p w14:paraId="639E5A3F" w14:textId="77777777" w:rsidR="00865307" w:rsidRPr="00865307" w:rsidRDefault="00865307" w:rsidP="008253C4">
            <w:pPr>
              <w:jc w:val="center"/>
              <w:rPr>
                <w:color w:val="000000"/>
                <w:sz w:val="18"/>
                <w:szCs w:val="18"/>
              </w:rPr>
            </w:pPr>
            <w:r w:rsidRPr="00865307">
              <w:rPr>
                <w:color w:val="000000"/>
                <w:sz w:val="18"/>
                <w:szCs w:val="18"/>
              </w:rPr>
              <w:t>3 (14.3%)</w:t>
            </w:r>
          </w:p>
        </w:tc>
        <w:tc>
          <w:tcPr>
            <w:tcW w:w="708" w:type="dxa"/>
            <w:tcBorders>
              <w:top w:val="nil"/>
              <w:left w:val="nil"/>
              <w:bottom w:val="nil"/>
              <w:right w:val="nil"/>
            </w:tcBorders>
            <w:shd w:val="clear" w:color="auto" w:fill="auto"/>
            <w:noWrap/>
            <w:vAlign w:val="center"/>
            <w:hideMark/>
          </w:tcPr>
          <w:p w14:paraId="4CF911B5"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0A291909" w14:textId="77777777" w:rsidR="00865307" w:rsidRPr="00865307" w:rsidRDefault="00865307" w:rsidP="008253C4">
            <w:pPr>
              <w:jc w:val="center"/>
              <w:rPr>
                <w:sz w:val="18"/>
                <w:szCs w:val="18"/>
              </w:rPr>
            </w:pPr>
          </w:p>
        </w:tc>
      </w:tr>
      <w:tr w:rsidR="00865307" w:rsidRPr="00865307" w14:paraId="693F87DB" w14:textId="77777777" w:rsidTr="008253C4">
        <w:trPr>
          <w:trHeight w:val="320"/>
        </w:trPr>
        <w:tc>
          <w:tcPr>
            <w:tcW w:w="283" w:type="dxa"/>
            <w:tcBorders>
              <w:top w:val="nil"/>
              <w:left w:val="nil"/>
              <w:bottom w:val="nil"/>
              <w:right w:val="nil"/>
            </w:tcBorders>
            <w:shd w:val="clear" w:color="auto" w:fill="auto"/>
            <w:noWrap/>
            <w:vAlign w:val="center"/>
            <w:hideMark/>
          </w:tcPr>
          <w:p w14:paraId="7D413401"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497507DE" w14:textId="77777777" w:rsidR="00865307" w:rsidRPr="00865307" w:rsidRDefault="00865307" w:rsidP="008253C4">
            <w:pPr>
              <w:rPr>
                <w:color w:val="000000"/>
                <w:sz w:val="18"/>
                <w:szCs w:val="18"/>
              </w:rPr>
            </w:pPr>
            <w:r w:rsidRPr="00865307">
              <w:rPr>
                <w:color w:val="000000"/>
                <w:sz w:val="18"/>
                <w:szCs w:val="18"/>
              </w:rPr>
              <w:t>Working status</w:t>
            </w:r>
          </w:p>
        </w:tc>
        <w:tc>
          <w:tcPr>
            <w:tcW w:w="1701" w:type="dxa"/>
            <w:tcBorders>
              <w:top w:val="nil"/>
              <w:left w:val="nil"/>
              <w:bottom w:val="nil"/>
              <w:right w:val="nil"/>
            </w:tcBorders>
            <w:shd w:val="clear" w:color="auto" w:fill="auto"/>
            <w:noWrap/>
            <w:vAlign w:val="center"/>
            <w:hideMark/>
          </w:tcPr>
          <w:p w14:paraId="29BBB314"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20D1E188"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2EC5DB06"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77704CFE"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2A46A7FB"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73A71DD3" w14:textId="77777777" w:rsidR="00865307" w:rsidRPr="00865307" w:rsidRDefault="00865307" w:rsidP="008253C4">
            <w:pPr>
              <w:jc w:val="center"/>
              <w:rPr>
                <w:color w:val="000000"/>
                <w:sz w:val="18"/>
                <w:szCs w:val="18"/>
              </w:rPr>
            </w:pPr>
            <w:r w:rsidRPr="00865307">
              <w:rPr>
                <w:color w:val="000000"/>
                <w:sz w:val="18"/>
                <w:szCs w:val="18"/>
              </w:rPr>
              <w:t>.196</w:t>
            </w:r>
          </w:p>
        </w:tc>
        <w:tc>
          <w:tcPr>
            <w:tcW w:w="709" w:type="dxa"/>
            <w:tcBorders>
              <w:top w:val="nil"/>
              <w:left w:val="nil"/>
              <w:bottom w:val="nil"/>
              <w:right w:val="nil"/>
            </w:tcBorders>
            <w:shd w:val="clear" w:color="auto" w:fill="auto"/>
            <w:noWrap/>
            <w:vAlign w:val="center"/>
            <w:hideMark/>
          </w:tcPr>
          <w:p w14:paraId="6D301917" w14:textId="77777777" w:rsidR="00865307" w:rsidRPr="00865307" w:rsidRDefault="00865307" w:rsidP="008253C4">
            <w:pPr>
              <w:jc w:val="center"/>
              <w:rPr>
                <w:color w:val="000000"/>
                <w:sz w:val="18"/>
                <w:szCs w:val="18"/>
              </w:rPr>
            </w:pPr>
            <w:r w:rsidRPr="00865307">
              <w:rPr>
                <w:color w:val="000000"/>
                <w:sz w:val="18"/>
                <w:szCs w:val="18"/>
              </w:rPr>
              <w:t>0.19</w:t>
            </w:r>
          </w:p>
        </w:tc>
      </w:tr>
      <w:tr w:rsidR="00865307" w:rsidRPr="00865307" w14:paraId="4A57B64B" w14:textId="77777777" w:rsidTr="008253C4">
        <w:trPr>
          <w:trHeight w:val="320"/>
        </w:trPr>
        <w:tc>
          <w:tcPr>
            <w:tcW w:w="283" w:type="dxa"/>
            <w:tcBorders>
              <w:top w:val="nil"/>
              <w:left w:val="nil"/>
              <w:bottom w:val="nil"/>
              <w:right w:val="nil"/>
            </w:tcBorders>
            <w:shd w:val="clear" w:color="auto" w:fill="auto"/>
            <w:noWrap/>
            <w:vAlign w:val="center"/>
            <w:hideMark/>
          </w:tcPr>
          <w:p w14:paraId="454BCA2E"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07981697"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70A74418" w14:textId="77777777" w:rsidR="00865307" w:rsidRPr="00865307" w:rsidRDefault="00865307" w:rsidP="008253C4">
            <w:pPr>
              <w:rPr>
                <w:color w:val="000000"/>
                <w:sz w:val="18"/>
                <w:szCs w:val="18"/>
              </w:rPr>
            </w:pPr>
            <w:r w:rsidRPr="00865307">
              <w:rPr>
                <w:color w:val="000000"/>
                <w:sz w:val="18"/>
                <w:szCs w:val="18"/>
              </w:rPr>
              <w:t>Working</w:t>
            </w:r>
          </w:p>
        </w:tc>
        <w:tc>
          <w:tcPr>
            <w:tcW w:w="1701" w:type="dxa"/>
            <w:tcBorders>
              <w:top w:val="nil"/>
              <w:left w:val="nil"/>
              <w:bottom w:val="nil"/>
              <w:right w:val="nil"/>
            </w:tcBorders>
            <w:shd w:val="clear" w:color="auto" w:fill="auto"/>
            <w:noWrap/>
            <w:vAlign w:val="center"/>
            <w:hideMark/>
          </w:tcPr>
          <w:p w14:paraId="5BEC311F" w14:textId="77777777" w:rsidR="00865307" w:rsidRPr="00865307" w:rsidRDefault="00865307" w:rsidP="008253C4">
            <w:pPr>
              <w:jc w:val="center"/>
              <w:rPr>
                <w:color w:val="000000"/>
                <w:sz w:val="18"/>
                <w:szCs w:val="18"/>
              </w:rPr>
            </w:pPr>
            <w:r w:rsidRPr="00865307">
              <w:rPr>
                <w:color w:val="000000"/>
                <w:sz w:val="18"/>
                <w:szCs w:val="18"/>
              </w:rPr>
              <w:t>64 (46.7%)</w:t>
            </w:r>
          </w:p>
        </w:tc>
        <w:tc>
          <w:tcPr>
            <w:tcW w:w="1417" w:type="dxa"/>
            <w:tcBorders>
              <w:top w:val="nil"/>
              <w:left w:val="nil"/>
              <w:bottom w:val="nil"/>
              <w:right w:val="nil"/>
            </w:tcBorders>
            <w:shd w:val="clear" w:color="auto" w:fill="auto"/>
            <w:noWrap/>
            <w:vAlign w:val="center"/>
            <w:hideMark/>
          </w:tcPr>
          <w:p w14:paraId="0F255B64" w14:textId="77777777" w:rsidR="00865307" w:rsidRPr="00865307" w:rsidRDefault="00865307" w:rsidP="008253C4">
            <w:pPr>
              <w:jc w:val="center"/>
              <w:rPr>
                <w:color w:val="000000"/>
                <w:sz w:val="18"/>
                <w:szCs w:val="18"/>
              </w:rPr>
            </w:pPr>
            <w:r w:rsidRPr="00865307">
              <w:rPr>
                <w:color w:val="000000"/>
                <w:sz w:val="18"/>
                <w:szCs w:val="18"/>
              </w:rPr>
              <w:t>41 (46.6%)</w:t>
            </w:r>
          </w:p>
        </w:tc>
        <w:tc>
          <w:tcPr>
            <w:tcW w:w="1418" w:type="dxa"/>
            <w:tcBorders>
              <w:top w:val="nil"/>
              <w:left w:val="nil"/>
              <w:bottom w:val="nil"/>
              <w:right w:val="nil"/>
            </w:tcBorders>
            <w:shd w:val="clear" w:color="auto" w:fill="auto"/>
            <w:noWrap/>
            <w:vAlign w:val="center"/>
            <w:hideMark/>
          </w:tcPr>
          <w:p w14:paraId="272FB8BD" w14:textId="77777777" w:rsidR="00865307" w:rsidRPr="00865307" w:rsidRDefault="00865307" w:rsidP="008253C4">
            <w:pPr>
              <w:jc w:val="center"/>
              <w:rPr>
                <w:color w:val="000000"/>
                <w:sz w:val="18"/>
                <w:szCs w:val="18"/>
              </w:rPr>
            </w:pPr>
            <w:r w:rsidRPr="00865307">
              <w:rPr>
                <w:color w:val="000000"/>
                <w:sz w:val="18"/>
                <w:szCs w:val="18"/>
              </w:rPr>
              <w:t>3 (25.0%)</w:t>
            </w:r>
          </w:p>
        </w:tc>
        <w:tc>
          <w:tcPr>
            <w:tcW w:w="1417" w:type="dxa"/>
            <w:tcBorders>
              <w:top w:val="nil"/>
              <w:left w:val="nil"/>
              <w:bottom w:val="nil"/>
              <w:right w:val="nil"/>
            </w:tcBorders>
            <w:shd w:val="clear" w:color="auto" w:fill="auto"/>
            <w:noWrap/>
            <w:vAlign w:val="center"/>
            <w:hideMark/>
          </w:tcPr>
          <w:p w14:paraId="6CCEE0FB" w14:textId="77777777" w:rsidR="00865307" w:rsidRPr="00865307" w:rsidRDefault="00865307" w:rsidP="008253C4">
            <w:pPr>
              <w:jc w:val="center"/>
              <w:rPr>
                <w:color w:val="000000"/>
                <w:sz w:val="18"/>
                <w:szCs w:val="18"/>
              </w:rPr>
            </w:pPr>
            <w:r w:rsidRPr="00865307">
              <w:rPr>
                <w:color w:val="000000"/>
                <w:sz w:val="18"/>
                <w:szCs w:val="18"/>
              </w:rPr>
              <w:t>10 (45.5%)</w:t>
            </w:r>
          </w:p>
        </w:tc>
        <w:tc>
          <w:tcPr>
            <w:tcW w:w="1418" w:type="dxa"/>
            <w:tcBorders>
              <w:top w:val="nil"/>
              <w:left w:val="nil"/>
              <w:bottom w:val="nil"/>
              <w:right w:val="nil"/>
            </w:tcBorders>
            <w:shd w:val="clear" w:color="auto" w:fill="auto"/>
            <w:noWrap/>
            <w:vAlign w:val="center"/>
            <w:hideMark/>
          </w:tcPr>
          <w:p w14:paraId="5799F179" w14:textId="77777777" w:rsidR="00865307" w:rsidRPr="00865307" w:rsidRDefault="00865307" w:rsidP="008253C4">
            <w:pPr>
              <w:jc w:val="center"/>
              <w:rPr>
                <w:color w:val="000000"/>
                <w:sz w:val="18"/>
                <w:szCs w:val="18"/>
              </w:rPr>
            </w:pPr>
            <w:r w:rsidRPr="00865307">
              <w:rPr>
                <w:color w:val="000000"/>
                <w:sz w:val="18"/>
                <w:szCs w:val="18"/>
              </w:rPr>
              <w:t>10 (66.7%)</w:t>
            </w:r>
          </w:p>
        </w:tc>
        <w:tc>
          <w:tcPr>
            <w:tcW w:w="708" w:type="dxa"/>
            <w:tcBorders>
              <w:top w:val="nil"/>
              <w:left w:val="nil"/>
              <w:bottom w:val="nil"/>
              <w:right w:val="nil"/>
            </w:tcBorders>
            <w:shd w:val="clear" w:color="auto" w:fill="auto"/>
            <w:noWrap/>
            <w:vAlign w:val="center"/>
            <w:hideMark/>
          </w:tcPr>
          <w:p w14:paraId="47D18533"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4BEFD1FD" w14:textId="77777777" w:rsidR="00865307" w:rsidRPr="00865307" w:rsidRDefault="00865307" w:rsidP="008253C4">
            <w:pPr>
              <w:jc w:val="center"/>
              <w:rPr>
                <w:sz w:val="18"/>
                <w:szCs w:val="18"/>
              </w:rPr>
            </w:pPr>
          </w:p>
        </w:tc>
      </w:tr>
      <w:tr w:rsidR="00865307" w:rsidRPr="00865307" w14:paraId="62F89DF7" w14:textId="77777777" w:rsidTr="008253C4">
        <w:trPr>
          <w:trHeight w:val="320"/>
        </w:trPr>
        <w:tc>
          <w:tcPr>
            <w:tcW w:w="283" w:type="dxa"/>
            <w:tcBorders>
              <w:top w:val="nil"/>
              <w:left w:val="nil"/>
              <w:bottom w:val="nil"/>
              <w:right w:val="nil"/>
            </w:tcBorders>
            <w:shd w:val="clear" w:color="auto" w:fill="auto"/>
            <w:noWrap/>
            <w:vAlign w:val="center"/>
            <w:hideMark/>
          </w:tcPr>
          <w:p w14:paraId="21F93DDB"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71C6AF88"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6E48DE5A" w14:textId="77777777" w:rsidR="00865307" w:rsidRPr="00865307" w:rsidRDefault="00865307" w:rsidP="008253C4">
            <w:pPr>
              <w:rPr>
                <w:color w:val="000000"/>
                <w:sz w:val="18"/>
                <w:szCs w:val="18"/>
              </w:rPr>
            </w:pPr>
            <w:r w:rsidRPr="00865307">
              <w:rPr>
                <w:color w:val="000000"/>
                <w:sz w:val="18"/>
                <w:szCs w:val="18"/>
              </w:rPr>
              <w:t>Not working</w:t>
            </w:r>
          </w:p>
        </w:tc>
        <w:tc>
          <w:tcPr>
            <w:tcW w:w="1701" w:type="dxa"/>
            <w:tcBorders>
              <w:top w:val="nil"/>
              <w:left w:val="nil"/>
              <w:bottom w:val="nil"/>
              <w:right w:val="nil"/>
            </w:tcBorders>
            <w:shd w:val="clear" w:color="auto" w:fill="auto"/>
            <w:noWrap/>
            <w:vAlign w:val="center"/>
            <w:hideMark/>
          </w:tcPr>
          <w:p w14:paraId="7C871CE6" w14:textId="77777777" w:rsidR="00865307" w:rsidRPr="00865307" w:rsidRDefault="00865307" w:rsidP="008253C4">
            <w:pPr>
              <w:jc w:val="center"/>
              <w:rPr>
                <w:color w:val="000000"/>
                <w:sz w:val="18"/>
                <w:szCs w:val="18"/>
              </w:rPr>
            </w:pPr>
            <w:r w:rsidRPr="00865307">
              <w:rPr>
                <w:color w:val="000000"/>
                <w:sz w:val="18"/>
                <w:szCs w:val="18"/>
              </w:rPr>
              <w:t>73 (53.3%)</w:t>
            </w:r>
          </w:p>
        </w:tc>
        <w:tc>
          <w:tcPr>
            <w:tcW w:w="1417" w:type="dxa"/>
            <w:tcBorders>
              <w:top w:val="nil"/>
              <w:left w:val="nil"/>
              <w:bottom w:val="nil"/>
              <w:right w:val="nil"/>
            </w:tcBorders>
            <w:shd w:val="clear" w:color="auto" w:fill="auto"/>
            <w:noWrap/>
            <w:vAlign w:val="center"/>
            <w:hideMark/>
          </w:tcPr>
          <w:p w14:paraId="666CADA5" w14:textId="77777777" w:rsidR="00865307" w:rsidRPr="00865307" w:rsidRDefault="00865307" w:rsidP="008253C4">
            <w:pPr>
              <w:jc w:val="center"/>
              <w:rPr>
                <w:color w:val="000000"/>
                <w:sz w:val="18"/>
                <w:szCs w:val="18"/>
              </w:rPr>
            </w:pPr>
            <w:r w:rsidRPr="00865307">
              <w:rPr>
                <w:color w:val="000000"/>
                <w:sz w:val="18"/>
                <w:szCs w:val="18"/>
              </w:rPr>
              <w:t>47 (53.4%)</w:t>
            </w:r>
          </w:p>
        </w:tc>
        <w:tc>
          <w:tcPr>
            <w:tcW w:w="1418" w:type="dxa"/>
            <w:tcBorders>
              <w:top w:val="nil"/>
              <w:left w:val="nil"/>
              <w:bottom w:val="nil"/>
              <w:right w:val="nil"/>
            </w:tcBorders>
            <w:shd w:val="clear" w:color="auto" w:fill="auto"/>
            <w:noWrap/>
            <w:vAlign w:val="center"/>
            <w:hideMark/>
          </w:tcPr>
          <w:p w14:paraId="724E8A26" w14:textId="77777777" w:rsidR="00865307" w:rsidRPr="00865307" w:rsidRDefault="00865307" w:rsidP="008253C4">
            <w:pPr>
              <w:jc w:val="center"/>
              <w:rPr>
                <w:color w:val="000000"/>
                <w:sz w:val="18"/>
                <w:szCs w:val="18"/>
              </w:rPr>
            </w:pPr>
            <w:r w:rsidRPr="00865307">
              <w:rPr>
                <w:color w:val="000000"/>
                <w:sz w:val="18"/>
                <w:szCs w:val="18"/>
              </w:rPr>
              <w:t>9 (75.0%)</w:t>
            </w:r>
          </w:p>
        </w:tc>
        <w:tc>
          <w:tcPr>
            <w:tcW w:w="1417" w:type="dxa"/>
            <w:tcBorders>
              <w:top w:val="nil"/>
              <w:left w:val="nil"/>
              <w:bottom w:val="nil"/>
              <w:right w:val="nil"/>
            </w:tcBorders>
            <w:shd w:val="clear" w:color="auto" w:fill="auto"/>
            <w:noWrap/>
            <w:vAlign w:val="center"/>
            <w:hideMark/>
          </w:tcPr>
          <w:p w14:paraId="4A16D3A2" w14:textId="77777777" w:rsidR="00865307" w:rsidRPr="00865307" w:rsidRDefault="00865307" w:rsidP="008253C4">
            <w:pPr>
              <w:jc w:val="center"/>
              <w:rPr>
                <w:color w:val="000000"/>
                <w:sz w:val="18"/>
                <w:szCs w:val="18"/>
              </w:rPr>
            </w:pPr>
            <w:r w:rsidRPr="00865307">
              <w:rPr>
                <w:color w:val="000000"/>
                <w:sz w:val="18"/>
                <w:szCs w:val="18"/>
              </w:rPr>
              <w:t>12 (54.5%)</w:t>
            </w:r>
          </w:p>
        </w:tc>
        <w:tc>
          <w:tcPr>
            <w:tcW w:w="1418" w:type="dxa"/>
            <w:tcBorders>
              <w:top w:val="nil"/>
              <w:left w:val="nil"/>
              <w:bottom w:val="nil"/>
              <w:right w:val="nil"/>
            </w:tcBorders>
            <w:shd w:val="clear" w:color="auto" w:fill="auto"/>
            <w:noWrap/>
            <w:vAlign w:val="center"/>
            <w:hideMark/>
          </w:tcPr>
          <w:p w14:paraId="68C1C331" w14:textId="77777777" w:rsidR="00865307" w:rsidRPr="00865307" w:rsidRDefault="00865307" w:rsidP="008253C4">
            <w:pPr>
              <w:jc w:val="center"/>
              <w:rPr>
                <w:color w:val="000000"/>
                <w:sz w:val="18"/>
                <w:szCs w:val="18"/>
              </w:rPr>
            </w:pPr>
            <w:r w:rsidRPr="00865307">
              <w:rPr>
                <w:color w:val="000000"/>
                <w:sz w:val="18"/>
                <w:szCs w:val="18"/>
              </w:rPr>
              <w:t>5 (33.3%)</w:t>
            </w:r>
          </w:p>
        </w:tc>
        <w:tc>
          <w:tcPr>
            <w:tcW w:w="708" w:type="dxa"/>
            <w:tcBorders>
              <w:top w:val="nil"/>
              <w:left w:val="nil"/>
              <w:bottom w:val="nil"/>
              <w:right w:val="nil"/>
            </w:tcBorders>
            <w:shd w:val="clear" w:color="auto" w:fill="auto"/>
            <w:noWrap/>
            <w:vAlign w:val="center"/>
            <w:hideMark/>
          </w:tcPr>
          <w:p w14:paraId="6C6A2ABB"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3FF63268" w14:textId="77777777" w:rsidR="00865307" w:rsidRPr="00865307" w:rsidRDefault="00865307" w:rsidP="008253C4">
            <w:pPr>
              <w:jc w:val="center"/>
              <w:rPr>
                <w:sz w:val="18"/>
                <w:szCs w:val="18"/>
              </w:rPr>
            </w:pPr>
          </w:p>
        </w:tc>
      </w:tr>
      <w:tr w:rsidR="00865307" w:rsidRPr="00865307" w14:paraId="7A8BD112" w14:textId="77777777" w:rsidTr="008253C4">
        <w:trPr>
          <w:trHeight w:val="320"/>
        </w:trPr>
        <w:tc>
          <w:tcPr>
            <w:tcW w:w="283" w:type="dxa"/>
            <w:tcBorders>
              <w:top w:val="nil"/>
              <w:left w:val="nil"/>
              <w:bottom w:val="nil"/>
              <w:right w:val="nil"/>
            </w:tcBorders>
            <w:shd w:val="clear" w:color="auto" w:fill="auto"/>
            <w:noWrap/>
            <w:vAlign w:val="center"/>
            <w:hideMark/>
          </w:tcPr>
          <w:p w14:paraId="76D0F2EE"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49048B5F" w14:textId="77777777" w:rsidR="00865307" w:rsidRPr="00865307" w:rsidRDefault="00865307" w:rsidP="008253C4">
            <w:pPr>
              <w:rPr>
                <w:color w:val="000000"/>
                <w:sz w:val="18"/>
                <w:szCs w:val="18"/>
              </w:rPr>
            </w:pPr>
            <w:r w:rsidRPr="00865307">
              <w:rPr>
                <w:color w:val="000000"/>
                <w:sz w:val="18"/>
                <w:szCs w:val="18"/>
              </w:rPr>
              <w:t>Household income</w:t>
            </w:r>
          </w:p>
        </w:tc>
        <w:tc>
          <w:tcPr>
            <w:tcW w:w="1701" w:type="dxa"/>
            <w:tcBorders>
              <w:top w:val="nil"/>
              <w:left w:val="nil"/>
              <w:bottom w:val="nil"/>
              <w:right w:val="nil"/>
            </w:tcBorders>
            <w:shd w:val="clear" w:color="auto" w:fill="auto"/>
            <w:noWrap/>
            <w:vAlign w:val="center"/>
            <w:hideMark/>
          </w:tcPr>
          <w:p w14:paraId="4E639F8A"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5EEC5DC7"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2CD683AB"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3C8611EF"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7E6ADD5B"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64BADC99" w14:textId="77777777" w:rsidR="00865307" w:rsidRPr="00865307" w:rsidRDefault="00865307" w:rsidP="008253C4">
            <w:pPr>
              <w:jc w:val="center"/>
              <w:rPr>
                <w:color w:val="000000"/>
                <w:sz w:val="18"/>
                <w:szCs w:val="18"/>
              </w:rPr>
            </w:pPr>
            <w:r w:rsidRPr="00865307">
              <w:rPr>
                <w:color w:val="000000"/>
                <w:sz w:val="18"/>
                <w:szCs w:val="18"/>
              </w:rPr>
              <w:t>.068</w:t>
            </w:r>
          </w:p>
        </w:tc>
        <w:tc>
          <w:tcPr>
            <w:tcW w:w="709" w:type="dxa"/>
            <w:tcBorders>
              <w:top w:val="nil"/>
              <w:left w:val="nil"/>
              <w:bottom w:val="nil"/>
              <w:right w:val="nil"/>
            </w:tcBorders>
            <w:shd w:val="clear" w:color="auto" w:fill="auto"/>
            <w:noWrap/>
            <w:vAlign w:val="center"/>
            <w:hideMark/>
          </w:tcPr>
          <w:p w14:paraId="6FADD330" w14:textId="77777777" w:rsidR="00865307" w:rsidRPr="00865307" w:rsidRDefault="00865307" w:rsidP="008253C4">
            <w:pPr>
              <w:jc w:val="center"/>
              <w:rPr>
                <w:color w:val="000000"/>
                <w:sz w:val="18"/>
                <w:szCs w:val="18"/>
              </w:rPr>
            </w:pPr>
            <w:r w:rsidRPr="00865307">
              <w:rPr>
                <w:color w:val="000000"/>
                <w:sz w:val="18"/>
                <w:szCs w:val="18"/>
              </w:rPr>
              <w:t>0.24</w:t>
            </w:r>
          </w:p>
        </w:tc>
      </w:tr>
      <w:tr w:rsidR="00865307" w:rsidRPr="00865307" w14:paraId="221B3880" w14:textId="77777777" w:rsidTr="008253C4">
        <w:trPr>
          <w:trHeight w:val="320"/>
        </w:trPr>
        <w:tc>
          <w:tcPr>
            <w:tcW w:w="283" w:type="dxa"/>
            <w:tcBorders>
              <w:top w:val="nil"/>
              <w:left w:val="nil"/>
              <w:bottom w:val="nil"/>
              <w:right w:val="nil"/>
            </w:tcBorders>
            <w:shd w:val="clear" w:color="auto" w:fill="auto"/>
            <w:noWrap/>
            <w:vAlign w:val="center"/>
            <w:hideMark/>
          </w:tcPr>
          <w:p w14:paraId="60E08A76"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212CB280"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4AC8A5FA" w14:textId="77777777" w:rsidR="00865307" w:rsidRPr="00865307" w:rsidRDefault="00865307" w:rsidP="008253C4">
            <w:pPr>
              <w:rPr>
                <w:color w:val="000000"/>
                <w:sz w:val="18"/>
                <w:szCs w:val="18"/>
              </w:rPr>
            </w:pPr>
            <w:r w:rsidRPr="00865307">
              <w:rPr>
                <w:color w:val="000000"/>
                <w:sz w:val="18"/>
                <w:szCs w:val="18"/>
              </w:rPr>
              <w:t>S$2000 or below</w:t>
            </w:r>
          </w:p>
        </w:tc>
        <w:tc>
          <w:tcPr>
            <w:tcW w:w="1701" w:type="dxa"/>
            <w:tcBorders>
              <w:top w:val="nil"/>
              <w:left w:val="nil"/>
              <w:bottom w:val="nil"/>
              <w:right w:val="nil"/>
            </w:tcBorders>
            <w:shd w:val="clear" w:color="auto" w:fill="auto"/>
            <w:noWrap/>
            <w:vAlign w:val="center"/>
            <w:hideMark/>
          </w:tcPr>
          <w:p w14:paraId="0E943A9F" w14:textId="77777777" w:rsidR="00865307" w:rsidRPr="00865307" w:rsidRDefault="00865307" w:rsidP="008253C4">
            <w:pPr>
              <w:jc w:val="center"/>
              <w:rPr>
                <w:color w:val="000000"/>
                <w:sz w:val="18"/>
                <w:szCs w:val="18"/>
              </w:rPr>
            </w:pPr>
            <w:r w:rsidRPr="00865307">
              <w:rPr>
                <w:color w:val="000000"/>
                <w:sz w:val="18"/>
                <w:szCs w:val="18"/>
              </w:rPr>
              <w:t>69 (55.6%)</w:t>
            </w:r>
          </w:p>
        </w:tc>
        <w:tc>
          <w:tcPr>
            <w:tcW w:w="1417" w:type="dxa"/>
            <w:tcBorders>
              <w:top w:val="nil"/>
              <w:left w:val="nil"/>
              <w:bottom w:val="nil"/>
              <w:right w:val="nil"/>
            </w:tcBorders>
            <w:shd w:val="clear" w:color="auto" w:fill="auto"/>
            <w:noWrap/>
            <w:vAlign w:val="center"/>
            <w:hideMark/>
          </w:tcPr>
          <w:p w14:paraId="67998E39" w14:textId="77777777" w:rsidR="00865307" w:rsidRPr="00865307" w:rsidRDefault="00865307" w:rsidP="008253C4">
            <w:pPr>
              <w:jc w:val="center"/>
              <w:rPr>
                <w:color w:val="000000"/>
                <w:sz w:val="18"/>
                <w:szCs w:val="18"/>
              </w:rPr>
            </w:pPr>
            <w:r w:rsidRPr="00865307">
              <w:rPr>
                <w:color w:val="000000"/>
                <w:sz w:val="18"/>
                <w:szCs w:val="18"/>
              </w:rPr>
              <w:t>37 (49.3%)</w:t>
            </w:r>
          </w:p>
        </w:tc>
        <w:tc>
          <w:tcPr>
            <w:tcW w:w="1418" w:type="dxa"/>
            <w:tcBorders>
              <w:top w:val="nil"/>
              <w:left w:val="nil"/>
              <w:bottom w:val="nil"/>
              <w:right w:val="nil"/>
            </w:tcBorders>
            <w:shd w:val="clear" w:color="auto" w:fill="auto"/>
            <w:noWrap/>
            <w:vAlign w:val="center"/>
            <w:hideMark/>
          </w:tcPr>
          <w:p w14:paraId="08F1FDD9" w14:textId="77777777" w:rsidR="00865307" w:rsidRPr="00865307" w:rsidRDefault="00865307" w:rsidP="008253C4">
            <w:pPr>
              <w:jc w:val="center"/>
              <w:rPr>
                <w:color w:val="000000"/>
                <w:sz w:val="18"/>
                <w:szCs w:val="18"/>
              </w:rPr>
            </w:pPr>
            <w:r w:rsidRPr="00865307">
              <w:rPr>
                <w:color w:val="000000"/>
                <w:sz w:val="18"/>
                <w:szCs w:val="18"/>
              </w:rPr>
              <w:t>8 (66.7%)</w:t>
            </w:r>
          </w:p>
        </w:tc>
        <w:tc>
          <w:tcPr>
            <w:tcW w:w="1417" w:type="dxa"/>
            <w:tcBorders>
              <w:top w:val="nil"/>
              <w:left w:val="nil"/>
              <w:bottom w:val="nil"/>
              <w:right w:val="nil"/>
            </w:tcBorders>
            <w:shd w:val="clear" w:color="auto" w:fill="auto"/>
            <w:noWrap/>
            <w:vAlign w:val="center"/>
            <w:hideMark/>
          </w:tcPr>
          <w:p w14:paraId="46A418D7" w14:textId="77777777" w:rsidR="00865307" w:rsidRPr="00865307" w:rsidRDefault="00865307" w:rsidP="008253C4">
            <w:pPr>
              <w:jc w:val="center"/>
              <w:rPr>
                <w:color w:val="000000"/>
                <w:sz w:val="18"/>
                <w:szCs w:val="18"/>
              </w:rPr>
            </w:pPr>
            <w:r w:rsidRPr="00865307">
              <w:rPr>
                <w:color w:val="000000"/>
                <w:sz w:val="18"/>
                <w:szCs w:val="18"/>
              </w:rPr>
              <w:t>16 (80.0%)</w:t>
            </w:r>
          </w:p>
        </w:tc>
        <w:tc>
          <w:tcPr>
            <w:tcW w:w="1418" w:type="dxa"/>
            <w:tcBorders>
              <w:top w:val="nil"/>
              <w:left w:val="nil"/>
              <w:bottom w:val="nil"/>
              <w:right w:val="nil"/>
            </w:tcBorders>
            <w:shd w:val="clear" w:color="auto" w:fill="auto"/>
            <w:noWrap/>
            <w:vAlign w:val="center"/>
            <w:hideMark/>
          </w:tcPr>
          <w:p w14:paraId="2059D3FD" w14:textId="77777777" w:rsidR="00865307" w:rsidRPr="00865307" w:rsidRDefault="00865307" w:rsidP="008253C4">
            <w:pPr>
              <w:jc w:val="center"/>
              <w:rPr>
                <w:color w:val="000000"/>
                <w:sz w:val="18"/>
                <w:szCs w:val="18"/>
              </w:rPr>
            </w:pPr>
            <w:r w:rsidRPr="00865307">
              <w:rPr>
                <w:color w:val="000000"/>
                <w:sz w:val="18"/>
                <w:szCs w:val="18"/>
              </w:rPr>
              <w:t>8 (47.1%)</w:t>
            </w:r>
          </w:p>
        </w:tc>
        <w:tc>
          <w:tcPr>
            <w:tcW w:w="708" w:type="dxa"/>
            <w:tcBorders>
              <w:top w:val="nil"/>
              <w:left w:val="nil"/>
              <w:bottom w:val="nil"/>
              <w:right w:val="nil"/>
            </w:tcBorders>
            <w:shd w:val="clear" w:color="auto" w:fill="auto"/>
            <w:noWrap/>
            <w:vAlign w:val="center"/>
            <w:hideMark/>
          </w:tcPr>
          <w:p w14:paraId="31264942"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24D5333C" w14:textId="77777777" w:rsidR="00865307" w:rsidRPr="00865307" w:rsidRDefault="00865307" w:rsidP="008253C4">
            <w:pPr>
              <w:jc w:val="center"/>
              <w:rPr>
                <w:sz w:val="18"/>
                <w:szCs w:val="18"/>
              </w:rPr>
            </w:pPr>
          </w:p>
        </w:tc>
      </w:tr>
      <w:tr w:rsidR="00865307" w:rsidRPr="00865307" w14:paraId="5080FBBA" w14:textId="77777777" w:rsidTr="008253C4">
        <w:trPr>
          <w:trHeight w:val="320"/>
        </w:trPr>
        <w:tc>
          <w:tcPr>
            <w:tcW w:w="283" w:type="dxa"/>
            <w:tcBorders>
              <w:top w:val="nil"/>
              <w:left w:val="nil"/>
              <w:bottom w:val="nil"/>
              <w:right w:val="nil"/>
            </w:tcBorders>
            <w:shd w:val="clear" w:color="auto" w:fill="auto"/>
            <w:noWrap/>
            <w:vAlign w:val="center"/>
            <w:hideMark/>
          </w:tcPr>
          <w:p w14:paraId="095346B8"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5ACCA781"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7842F593" w14:textId="77777777" w:rsidR="00865307" w:rsidRPr="00865307" w:rsidRDefault="00865307" w:rsidP="008253C4">
            <w:pPr>
              <w:rPr>
                <w:color w:val="000000"/>
                <w:sz w:val="18"/>
                <w:szCs w:val="18"/>
              </w:rPr>
            </w:pPr>
            <w:r w:rsidRPr="00865307">
              <w:rPr>
                <w:color w:val="000000"/>
                <w:sz w:val="18"/>
                <w:szCs w:val="18"/>
              </w:rPr>
              <w:t>Above S$2000</w:t>
            </w:r>
          </w:p>
        </w:tc>
        <w:tc>
          <w:tcPr>
            <w:tcW w:w="1701" w:type="dxa"/>
            <w:tcBorders>
              <w:top w:val="nil"/>
              <w:left w:val="nil"/>
              <w:bottom w:val="nil"/>
              <w:right w:val="nil"/>
            </w:tcBorders>
            <w:shd w:val="clear" w:color="auto" w:fill="auto"/>
            <w:noWrap/>
            <w:vAlign w:val="center"/>
            <w:hideMark/>
          </w:tcPr>
          <w:p w14:paraId="3BD3EFF4" w14:textId="77777777" w:rsidR="00865307" w:rsidRPr="00865307" w:rsidRDefault="00865307" w:rsidP="008253C4">
            <w:pPr>
              <w:jc w:val="center"/>
              <w:rPr>
                <w:color w:val="000000"/>
                <w:sz w:val="18"/>
                <w:szCs w:val="18"/>
              </w:rPr>
            </w:pPr>
            <w:r w:rsidRPr="00865307">
              <w:rPr>
                <w:color w:val="000000"/>
                <w:sz w:val="18"/>
                <w:szCs w:val="18"/>
              </w:rPr>
              <w:t>55 (44.4%)</w:t>
            </w:r>
          </w:p>
        </w:tc>
        <w:tc>
          <w:tcPr>
            <w:tcW w:w="1417" w:type="dxa"/>
            <w:tcBorders>
              <w:top w:val="nil"/>
              <w:left w:val="nil"/>
              <w:bottom w:val="nil"/>
              <w:right w:val="nil"/>
            </w:tcBorders>
            <w:shd w:val="clear" w:color="auto" w:fill="auto"/>
            <w:noWrap/>
            <w:vAlign w:val="center"/>
            <w:hideMark/>
          </w:tcPr>
          <w:p w14:paraId="4CA93EAE" w14:textId="77777777" w:rsidR="00865307" w:rsidRPr="00865307" w:rsidRDefault="00865307" w:rsidP="008253C4">
            <w:pPr>
              <w:jc w:val="center"/>
              <w:rPr>
                <w:color w:val="000000"/>
                <w:sz w:val="18"/>
                <w:szCs w:val="18"/>
              </w:rPr>
            </w:pPr>
            <w:r w:rsidRPr="00865307">
              <w:rPr>
                <w:color w:val="000000"/>
                <w:sz w:val="18"/>
                <w:szCs w:val="18"/>
              </w:rPr>
              <w:t>38 (50.7%)</w:t>
            </w:r>
          </w:p>
        </w:tc>
        <w:tc>
          <w:tcPr>
            <w:tcW w:w="1418" w:type="dxa"/>
            <w:tcBorders>
              <w:top w:val="nil"/>
              <w:left w:val="nil"/>
              <w:bottom w:val="nil"/>
              <w:right w:val="nil"/>
            </w:tcBorders>
            <w:shd w:val="clear" w:color="auto" w:fill="auto"/>
            <w:noWrap/>
            <w:vAlign w:val="center"/>
            <w:hideMark/>
          </w:tcPr>
          <w:p w14:paraId="13D6674A" w14:textId="77777777" w:rsidR="00865307" w:rsidRPr="00865307" w:rsidRDefault="00865307" w:rsidP="008253C4">
            <w:pPr>
              <w:jc w:val="center"/>
              <w:rPr>
                <w:color w:val="000000"/>
                <w:sz w:val="18"/>
                <w:szCs w:val="18"/>
              </w:rPr>
            </w:pPr>
            <w:r w:rsidRPr="00865307">
              <w:rPr>
                <w:color w:val="000000"/>
                <w:sz w:val="18"/>
                <w:szCs w:val="18"/>
              </w:rPr>
              <w:t>4 (33.3%)</w:t>
            </w:r>
          </w:p>
        </w:tc>
        <w:tc>
          <w:tcPr>
            <w:tcW w:w="1417" w:type="dxa"/>
            <w:tcBorders>
              <w:top w:val="nil"/>
              <w:left w:val="nil"/>
              <w:bottom w:val="nil"/>
              <w:right w:val="nil"/>
            </w:tcBorders>
            <w:shd w:val="clear" w:color="auto" w:fill="auto"/>
            <w:noWrap/>
            <w:vAlign w:val="center"/>
            <w:hideMark/>
          </w:tcPr>
          <w:p w14:paraId="23453FB3" w14:textId="77777777" w:rsidR="00865307" w:rsidRPr="00865307" w:rsidRDefault="00865307" w:rsidP="008253C4">
            <w:pPr>
              <w:jc w:val="center"/>
              <w:rPr>
                <w:color w:val="000000"/>
                <w:sz w:val="18"/>
                <w:szCs w:val="18"/>
              </w:rPr>
            </w:pPr>
            <w:r w:rsidRPr="00865307">
              <w:rPr>
                <w:color w:val="000000"/>
                <w:sz w:val="18"/>
                <w:szCs w:val="18"/>
              </w:rPr>
              <w:t>4 (20.0%)</w:t>
            </w:r>
          </w:p>
        </w:tc>
        <w:tc>
          <w:tcPr>
            <w:tcW w:w="1418" w:type="dxa"/>
            <w:tcBorders>
              <w:top w:val="nil"/>
              <w:left w:val="nil"/>
              <w:bottom w:val="nil"/>
              <w:right w:val="nil"/>
            </w:tcBorders>
            <w:shd w:val="clear" w:color="auto" w:fill="auto"/>
            <w:noWrap/>
            <w:vAlign w:val="center"/>
            <w:hideMark/>
          </w:tcPr>
          <w:p w14:paraId="32A98A3F" w14:textId="77777777" w:rsidR="00865307" w:rsidRPr="00865307" w:rsidRDefault="00865307" w:rsidP="008253C4">
            <w:pPr>
              <w:jc w:val="center"/>
              <w:rPr>
                <w:color w:val="000000"/>
                <w:sz w:val="18"/>
                <w:szCs w:val="18"/>
              </w:rPr>
            </w:pPr>
            <w:r w:rsidRPr="00865307">
              <w:rPr>
                <w:color w:val="000000"/>
                <w:sz w:val="18"/>
                <w:szCs w:val="18"/>
              </w:rPr>
              <w:t>9 (52.9%)</w:t>
            </w:r>
          </w:p>
        </w:tc>
        <w:tc>
          <w:tcPr>
            <w:tcW w:w="708" w:type="dxa"/>
            <w:tcBorders>
              <w:top w:val="nil"/>
              <w:left w:val="nil"/>
              <w:bottom w:val="nil"/>
              <w:right w:val="nil"/>
            </w:tcBorders>
            <w:shd w:val="clear" w:color="auto" w:fill="auto"/>
            <w:noWrap/>
            <w:vAlign w:val="center"/>
            <w:hideMark/>
          </w:tcPr>
          <w:p w14:paraId="2D297305"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2A2E6261" w14:textId="77777777" w:rsidR="00865307" w:rsidRPr="00865307" w:rsidRDefault="00865307" w:rsidP="008253C4">
            <w:pPr>
              <w:jc w:val="center"/>
              <w:rPr>
                <w:sz w:val="18"/>
                <w:szCs w:val="18"/>
              </w:rPr>
            </w:pPr>
          </w:p>
        </w:tc>
      </w:tr>
      <w:tr w:rsidR="00865307" w:rsidRPr="00865307" w14:paraId="391BD5C7" w14:textId="77777777" w:rsidTr="008253C4">
        <w:trPr>
          <w:trHeight w:val="320"/>
        </w:trPr>
        <w:tc>
          <w:tcPr>
            <w:tcW w:w="2836" w:type="dxa"/>
            <w:gridSpan w:val="3"/>
            <w:tcBorders>
              <w:top w:val="nil"/>
              <w:left w:val="nil"/>
              <w:bottom w:val="nil"/>
              <w:right w:val="nil"/>
            </w:tcBorders>
            <w:shd w:val="clear" w:color="auto" w:fill="auto"/>
            <w:noWrap/>
            <w:vAlign w:val="center"/>
            <w:hideMark/>
          </w:tcPr>
          <w:p w14:paraId="7F45FC43" w14:textId="77777777" w:rsidR="00865307" w:rsidRPr="00865307" w:rsidRDefault="00865307" w:rsidP="008253C4">
            <w:pPr>
              <w:rPr>
                <w:color w:val="000000"/>
                <w:sz w:val="18"/>
                <w:szCs w:val="18"/>
              </w:rPr>
            </w:pPr>
            <w:r w:rsidRPr="00865307">
              <w:rPr>
                <w:color w:val="000000"/>
                <w:sz w:val="18"/>
                <w:szCs w:val="18"/>
              </w:rPr>
              <w:t>Clinical characteristics</w:t>
            </w:r>
          </w:p>
        </w:tc>
        <w:tc>
          <w:tcPr>
            <w:tcW w:w="1701" w:type="dxa"/>
            <w:tcBorders>
              <w:top w:val="nil"/>
              <w:left w:val="nil"/>
              <w:bottom w:val="nil"/>
              <w:right w:val="nil"/>
            </w:tcBorders>
            <w:shd w:val="clear" w:color="auto" w:fill="auto"/>
            <w:noWrap/>
            <w:vAlign w:val="center"/>
            <w:hideMark/>
          </w:tcPr>
          <w:p w14:paraId="3AEB938C"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7A88296A"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54A9B341"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0D4EA640"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1D4C8C5D"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1CB19E95" w14:textId="77777777" w:rsidR="00865307" w:rsidRPr="00865307" w:rsidRDefault="00865307" w:rsidP="008253C4">
            <w:pPr>
              <w:jc w:val="center"/>
              <w:rPr>
                <w:sz w:val="18"/>
                <w:szCs w:val="18"/>
              </w:rPr>
            </w:pPr>
          </w:p>
        </w:tc>
        <w:tc>
          <w:tcPr>
            <w:tcW w:w="709" w:type="dxa"/>
            <w:tcBorders>
              <w:top w:val="nil"/>
              <w:left w:val="nil"/>
              <w:bottom w:val="nil"/>
              <w:right w:val="nil"/>
            </w:tcBorders>
            <w:shd w:val="clear" w:color="auto" w:fill="auto"/>
            <w:noWrap/>
            <w:vAlign w:val="center"/>
            <w:hideMark/>
          </w:tcPr>
          <w:p w14:paraId="651D88F4" w14:textId="77777777" w:rsidR="00865307" w:rsidRPr="00865307" w:rsidRDefault="00865307" w:rsidP="008253C4">
            <w:pPr>
              <w:jc w:val="center"/>
              <w:rPr>
                <w:sz w:val="18"/>
                <w:szCs w:val="18"/>
              </w:rPr>
            </w:pPr>
          </w:p>
        </w:tc>
      </w:tr>
      <w:tr w:rsidR="00865307" w:rsidRPr="00865307" w14:paraId="57903477" w14:textId="77777777" w:rsidTr="008253C4">
        <w:trPr>
          <w:trHeight w:val="320"/>
        </w:trPr>
        <w:tc>
          <w:tcPr>
            <w:tcW w:w="283" w:type="dxa"/>
            <w:tcBorders>
              <w:top w:val="nil"/>
              <w:left w:val="nil"/>
              <w:bottom w:val="nil"/>
              <w:right w:val="nil"/>
            </w:tcBorders>
            <w:shd w:val="clear" w:color="auto" w:fill="auto"/>
            <w:noWrap/>
            <w:vAlign w:val="center"/>
            <w:hideMark/>
          </w:tcPr>
          <w:p w14:paraId="7BE504A9"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1BF0D1A4" w14:textId="77777777" w:rsidR="00865307" w:rsidRPr="00865307" w:rsidRDefault="00865307" w:rsidP="008253C4">
            <w:pPr>
              <w:rPr>
                <w:color w:val="000000"/>
                <w:sz w:val="18"/>
                <w:szCs w:val="18"/>
              </w:rPr>
            </w:pPr>
            <w:r w:rsidRPr="00865307">
              <w:rPr>
                <w:color w:val="000000"/>
                <w:sz w:val="18"/>
                <w:szCs w:val="18"/>
              </w:rPr>
              <w:t>Age at ESRD diagnosis</w:t>
            </w:r>
          </w:p>
        </w:tc>
        <w:tc>
          <w:tcPr>
            <w:tcW w:w="1701" w:type="dxa"/>
            <w:tcBorders>
              <w:top w:val="nil"/>
              <w:left w:val="nil"/>
              <w:bottom w:val="nil"/>
              <w:right w:val="nil"/>
            </w:tcBorders>
            <w:shd w:val="clear" w:color="auto" w:fill="auto"/>
            <w:noWrap/>
            <w:vAlign w:val="center"/>
            <w:hideMark/>
          </w:tcPr>
          <w:p w14:paraId="00A73901" w14:textId="77777777" w:rsidR="00865307" w:rsidRPr="00865307" w:rsidRDefault="00865307" w:rsidP="008253C4">
            <w:pPr>
              <w:jc w:val="center"/>
              <w:rPr>
                <w:color w:val="000000"/>
                <w:sz w:val="18"/>
                <w:szCs w:val="18"/>
              </w:rPr>
            </w:pPr>
            <w:r w:rsidRPr="00865307">
              <w:rPr>
                <w:color w:val="000000"/>
                <w:sz w:val="18"/>
                <w:szCs w:val="18"/>
              </w:rPr>
              <w:t>45.69 (14.04)</w:t>
            </w:r>
          </w:p>
        </w:tc>
        <w:tc>
          <w:tcPr>
            <w:tcW w:w="1417" w:type="dxa"/>
            <w:tcBorders>
              <w:top w:val="nil"/>
              <w:left w:val="nil"/>
              <w:bottom w:val="nil"/>
              <w:right w:val="nil"/>
            </w:tcBorders>
            <w:shd w:val="clear" w:color="auto" w:fill="auto"/>
            <w:noWrap/>
            <w:vAlign w:val="center"/>
            <w:hideMark/>
          </w:tcPr>
          <w:p w14:paraId="2A428639" w14:textId="77777777" w:rsidR="00865307" w:rsidRPr="00865307" w:rsidRDefault="00865307" w:rsidP="008253C4">
            <w:pPr>
              <w:jc w:val="center"/>
              <w:rPr>
                <w:color w:val="000000"/>
                <w:sz w:val="18"/>
                <w:szCs w:val="18"/>
              </w:rPr>
            </w:pPr>
            <w:r w:rsidRPr="00865307">
              <w:rPr>
                <w:color w:val="000000"/>
                <w:sz w:val="18"/>
                <w:szCs w:val="18"/>
              </w:rPr>
              <w:t>44.21 (14.43)</w:t>
            </w:r>
          </w:p>
        </w:tc>
        <w:tc>
          <w:tcPr>
            <w:tcW w:w="1418" w:type="dxa"/>
            <w:tcBorders>
              <w:top w:val="nil"/>
              <w:left w:val="nil"/>
              <w:bottom w:val="nil"/>
              <w:right w:val="nil"/>
            </w:tcBorders>
            <w:shd w:val="clear" w:color="auto" w:fill="auto"/>
            <w:noWrap/>
            <w:vAlign w:val="center"/>
            <w:hideMark/>
          </w:tcPr>
          <w:p w14:paraId="55240EA6" w14:textId="77777777" w:rsidR="00865307" w:rsidRPr="00865307" w:rsidRDefault="00865307" w:rsidP="008253C4">
            <w:pPr>
              <w:jc w:val="center"/>
              <w:rPr>
                <w:color w:val="000000"/>
                <w:sz w:val="18"/>
                <w:szCs w:val="18"/>
              </w:rPr>
            </w:pPr>
            <w:r w:rsidRPr="00865307">
              <w:rPr>
                <w:color w:val="000000"/>
                <w:sz w:val="18"/>
                <w:szCs w:val="18"/>
              </w:rPr>
              <w:t>44.50 (13.15)</w:t>
            </w:r>
          </w:p>
        </w:tc>
        <w:tc>
          <w:tcPr>
            <w:tcW w:w="1417" w:type="dxa"/>
            <w:tcBorders>
              <w:top w:val="nil"/>
              <w:left w:val="nil"/>
              <w:bottom w:val="nil"/>
              <w:right w:val="nil"/>
            </w:tcBorders>
            <w:shd w:val="clear" w:color="auto" w:fill="auto"/>
            <w:noWrap/>
            <w:vAlign w:val="center"/>
            <w:hideMark/>
          </w:tcPr>
          <w:p w14:paraId="6352E8C1" w14:textId="77777777" w:rsidR="00865307" w:rsidRPr="00865307" w:rsidRDefault="00865307" w:rsidP="008253C4">
            <w:pPr>
              <w:jc w:val="center"/>
              <w:rPr>
                <w:color w:val="000000"/>
                <w:sz w:val="18"/>
                <w:szCs w:val="18"/>
              </w:rPr>
            </w:pPr>
            <w:r w:rsidRPr="00865307">
              <w:rPr>
                <w:color w:val="000000"/>
                <w:sz w:val="18"/>
                <w:szCs w:val="18"/>
              </w:rPr>
              <w:t>46.25 (15.03)</w:t>
            </w:r>
          </w:p>
        </w:tc>
        <w:tc>
          <w:tcPr>
            <w:tcW w:w="1418" w:type="dxa"/>
            <w:tcBorders>
              <w:top w:val="nil"/>
              <w:left w:val="nil"/>
              <w:bottom w:val="nil"/>
              <w:right w:val="nil"/>
            </w:tcBorders>
            <w:shd w:val="clear" w:color="auto" w:fill="auto"/>
            <w:noWrap/>
            <w:vAlign w:val="center"/>
            <w:hideMark/>
          </w:tcPr>
          <w:p w14:paraId="7EB83297" w14:textId="77777777" w:rsidR="00865307" w:rsidRPr="00865307" w:rsidRDefault="00865307" w:rsidP="008253C4">
            <w:pPr>
              <w:jc w:val="center"/>
              <w:rPr>
                <w:color w:val="000000"/>
                <w:sz w:val="18"/>
                <w:szCs w:val="18"/>
              </w:rPr>
            </w:pPr>
            <w:r w:rsidRPr="00865307">
              <w:rPr>
                <w:color w:val="000000"/>
                <w:sz w:val="18"/>
                <w:szCs w:val="18"/>
              </w:rPr>
              <w:t>52.85 (9.07)</w:t>
            </w:r>
          </w:p>
        </w:tc>
        <w:tc>
          <w:tcPr>
            <w:tcW w:w="708" w:type="dxa"/>
            <w:tcBorders>
              <w:top w:val="nil"/>
              <w:left w:val="nil"/>
              <w:bottom w:val="nil"/>
              <w:right w:val="nil"/>
            </w:tcBorders>
            <w:shd w:val="clear" w:color="auto" w:fill="auto"/>
            <w:noWrap/>
            <w:vAlign w:val="center"/>
            <w:hideMark/>
          </w:tcPr>
          <w:p w14:paraId="7B79BC12" w14:textId="77777777" w:rsidR="00865307" w:rsidRPr="00865307" w:rsidRDefault="00865307" w:rsidP="008253C4">
            <w:pPr>
              <w:jc w:val="center"/>
              <w:rPr>
                <w:color w:val="000000"/>
                <w:sz w:val="18"/>
                <w:szCs w:val="18"/>
              </w:rPr>
            </w:pPr>
            <w:r w:rsidRPr="00865307">
              <w:rPr>
                <w:color w:val="000000"/>
                <w:sz w:val="18"/>
                <w:szCs w:val="18"/>
              </w:rPr>
              <w:t>.092</w:t>
            </w:r>
          </w:p>
        </w:tc>
        <w:tc>
          <w:tcPr>
            <w:tcW w:w="709" w:type="dxa"/>
            <w:tcBorders>
              <w:top w:val="nil"/>
              <w:left w:val="nil"/>
              <w:bottom w:val="nil"/>
              <w:right w:val="nil"/>
            </w:tcBorders>
            <w:shd w:val="clear" w:color="auto" w:fill="auto"/>
            <w:noWrap/>
            <w:vAlign w:val="center"/>
            <w:hideMark/>
          </w:tcPr>
          <w:p w14:paraId="0830EA11" w14:textId="77777777" w:rsidR="00865307" w:rsidRPr="00865307" w:rsidRDefault="00865307" w:rsidP="008253C4">
            <w:pPr>
              <w:jc w:val="center"/>
              <w:rPr>
                <w:color w:val="000000"/>
                <w:sz w:val="18"/>
                <w:szCs w:val="18"/>
              </w:rPr>
            </w:pPr>
            <w:r w:rsidRPr="00865307">
              <w:rPr>
                <w:color w:val="000000"/>
                <w:sz w:val="18"/>
                <w:szCs w:val="18"/>
              </w:rPr>
              <w:t>0.04</w:t>
            </w:r>
          </w:p>
        </w:tc>
      </w:tr>
      <w:tr w:rsidR="0080639E" w:rsidRPr="00865307" w14:paraId="54AA18EB" w14:textId="77777777" w:rsidTr="004F7E4A">
        <w:trPr>
          <w:trHeight w:val="320"/>
        </w:trPr>
        <w:tc>
          <w:tcPr>
            <w:tcW w:w="283" w:type="dxa"/>
            <w:tcBorders>
              <w:top w:val="nil"/>
              <w:left w:val="nil"/>
              <w:bottom w:val="nil"/>
              <w:right w:val="nil"/>
            </w:tcBorders>
            <w:shd w:val="clear" w:color="auto" w:fill="auto"/>
            <w:noWrap/>
            <w:vAlign w:val="center"/>
            <w:hideMark/>
          </w:tcPr>
          <w:p w14:paraId="52398C1A" w14:textId="77777777" w:rsidR="0080639E" w:rsidRPr="00865307" w:rsidRDefault="0080639E" w:rsidP="008253C4">
            <w:pPr>
              <w:jc w:val="center"/>
              <w:rPr>
                <w:color w:val="000000"/>
                <w:sz w:val="18"/>
                <w:szCs w:val="18"/>
              </w:rPr>
            </w:pPr>
          </w:p>
        </w:tc>
        <w:tc>
          <w:tcPr>
            <w:tcW w:w="4254" w:type="dxa"/>
            <w:gridSpan w:val="3"/>
            <w:tcBorders>
              <w:top w:val="nil"/>
              <w:left w:val="nil"/>
              <w:bottom w:val="nil"/>
              <w:right w:val="nil"/>
            </w:tcBorders>
            <w:shd w:val="clear" w:color="auto" w:fill="auto"/>
            <w:noWrap/>
            <w:vAlign w:val="center"/>
            <w:hideMark/>
          </w:tcPr>
          <w:p w14:paraId="6B76D82C" w14:textId="3E95BA56" w:rsidR="0080639E" w:rsidRPr="00865307" w:rsidRDefault="0080639E" w:rsidP="008253C4">
            <w:pPr>
              <w:rPr>
                <w:color w:val="000000"/>
                <w:sz w:val="18"/>
                <w:szCs w:val="18"/>
              </w:rPr>
            </w:pPr>
            <w:r w:rsidRPr="00865307">
              <w:rPr>
                <w:color w:val="000000"/>
                <w:sz w:val="18"/>
                <w:szCs w:val="18"/>
              </w:rPr>
              <w:t>Primary kidney disease diagnosis</w:t>
            </w:r>
          </w:p>
        </w:tc>
        <w:tc>
          <w:tcPr>
            <w:tcW w:w="1417" w:type="dxa"/>
            <w:tcBorders>
              <w:top w:val="nil"/>
              <w:left w:val="nil"/>
              <w:bottom w:val="nil"/>
              <w:right w:val="nil"/>
            </w:tcBorders>
            <w:shd w:val="clear" w:color="auto" w:fill="auto"/>
            <w:noWrap/>
            <w:vAlign w:val="center"/>
            <w:hideMark/>
          </w:tcPr>
          <w:p w14:paraId="49500818" w14:textId="77777777" w:rsidR="0080639E" w:rsidRPr="00865307" w:rsidRDefault="0080639E"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1E536127" w14:textId="77777777" w:rsidR="0080639E" w:rsidRPr="00865307" w:rsidRDefault="0080639E"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7FC2E63D" w14:textId="77777777" w:rsidR="0080639E" w:rsidRPr="00865307" w:rsidRDefault="0080639E"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7307A087" w14:textId="77777777" w:rsidR="0080639E" w:rsidRPr="00865307" w:rsidRDefault="0080639E"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06A64A51" w14:textId="77777777" w:rsidR="0080639E" w:rsidRPr="00865307" w:rsidRDefault="0080639E" w:rsidP="008253C4">
            <w:pPr>
              <w:jc w:val="center"/>
              <w:rPr>
                <w:color w:val="000000"/>
                <w:sz w:val="18"/>
                <w:szCs w:val="18"/>
              </w:rPr>
            </w:pPr>
            <w:r w:rsidRPr="00865307">
              <w:rPr>
                <w:color w:val="000000"/>
                <w:sz w:val="18"/>
                <w:szCs w:val="18"/>
              </w:rPr>
              <w:t>.460</w:t>
            </w:r>
          </w:p>
        </w:tc>
        <w:tc>
          <w:tcPr>
            <w:tcW w:w="709" w:type="dxa"/>
            <w:tcBorders>
              <w:top w:val="nil"/>
              <w:left w:val="nil"/>
              <w:bottom w:val="nil"/>
              <w:right w:val="nil"/>
            </w:tcBorders>
            <w:shd w:val="clear" w:color="auto" w:fill="auto"/>
            <w:noWrap/>
            <w:vAlign w:val="center"/>
            <w:hideMark/>
          </w:tcPr>
          <w:p w14:paraId="347DAEDD" w14:textId="77777777" w:rsidR="0080639E" w:rsidRPr="00865307" w:rsidRDefault="0080639E" w:rsidP="008253C4">
            <w:pPr>
              <w:jc w:val="center"/>
              <w:rPr>
                <w:color w:val="000000"/>
                <w:sz w:val="18"/>
                <w:szCs w:val="18"/>
              </w:rPr>
            </w:pPr>
            <w:r w:rsidRPr="00865307">
              <w:rPr>
                <w:color w:val="000000"/>
                <w:sz w:val="18"/>
                <w:szCs w:val="18"/>
              </w:rPr>
              <w:t>0.18</w:t>
            </w:r>
          </w:p>
        </w:tc>
      </w:tr>
      <w:tr w:rsidR="00865307" w:rsidRPr="00865307" w14:paraId="63EE3930" w14:textId="77777777" w:rsidTr="008253C4">
        <w:trPr>
          <w:trHeight w:val="320"/>
        </w:trPr>
        <w:tc>
          <w:tcPr>
            <w:tcW w:w="283" w:type="dxa"/>
            <w:tcBorders>
              <w:top w:val="nil"/>
              <w:left w:val="nil"/>
              <w:bottom w:val="nil"/>
              <w:right w:val="nil"/>
            </w:tcBorders>
            <w:shd w:val="clear" w:color="auto" w:fill="auto"/>
            <w:noWrap/>
            <w:vAlign w:val="center"/>
            <w:hideMark/>
          </w:tcPr>
          <w:p w14:paraId="1C8AD7E6"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158954F2"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508C78D7" w14:textId="77777777" w:rsidR="00865307" w:rsidRPr="00865307" w:rsidRDefault="00865307" w:rsidP="008253C4">
            <w:pPr>
              <w:rPr>
                <w:color w:val="000000"/>
                <w:sz w:val="18"/>
                <w:szCs w:val="18"/>
              </w:rPr>
            </w:pPr>
            <w:r w:rsidRPr="00865307">
              <w:rPr>
                <w:color w:val="000000"/>
                <w:sz w:val="18"/>
                <w:szCs w:val="18"/>
              </w:rPr>
              <w:t>Diabetic nephropathy</w:t>
            </w:r>
          </w:p>
        </w:tc>
        <w:tc>
          <w:tcPr>
            <w:tcW w:w="1701" w:type="dxa"/>
            <w:tcBorders>
              <w:top w:val="nil"/>
              <w:left w:val="nil"/>
              <w:bottom w:val="nil"/>
              <w:right w:val="nil"/>
            </w:tcBorders>
            <w:shd w:val="clear" w:color="auto" w:fill="auto"/>
            <w:noWrap/>
            <w:vAlign w:val="center"/>
            <w:hideMark/>
          </w:tcPr>
          <w:p w14:paraId="3804C166" w14:textId="77777777" w:rsidR="00865307" w:rsidRPr="00865307" w:rsidRDefault="00865307" w:rsidP="008253C4">
            <w:pPr>
              <w:jc w:val="center"/>
              <w:rPr>
                <w:color w:val="000000"/>
                <w:sz w:val="18"/>
                <w:szCs w:val="18"/>
              </w:rPr>
            </w:pPr>
            <w:r w:rsidRPr="00865307">
              <w:rPr>
                <w:color w:val="000000"/>
                <w:sz w:val="18"/>
                <w:szCs w:val="18"/>
              </w:rPr>
              <w:t>58 (38.7%)</w:t>
            </w:r>
          </w:p>
        </w:tc>
        <w:tc>
          <w:tcPr>
            <w:tcW w:w="1417" w:type="dxa"/>
            <w:tcBorders>
              <w:top w:val="nil"/>
              <w:left w:val="nil"/>
              <w:bottom w:val="nil"/>
              <w:right w:val="nil"/>
            </w:tcBorders>
            <w:shd w:val="clear" w:color="auto" w:fill="auto"/>
            <w:noWrap/>
            <w:vAlign w:val="center"/>
            <w:hideMark/>
          </w:tcPr>
          <w:p w14:paraId="297C321C" w14:textId="77777777" w:rsidR="00865307" w:rsidRPr="00865307" w:rsidRDefault="00865307" w:rsidP="008253C4">
            <w:pPr>
              <w:jc w:val="center"/>
              <w:rPr>
                <w:color w:val="000000"/>
                <w:sz w:val="18"/>
                <w:szCs w:val="18"/>
              </w:rPr>
            </w:pPr>
            <w:r w:rsidRPr="00865307">
              <w:rPr>
                <w:color w:val="000000"/>
                <w:sz w:val="18"/>
                <w:szCs w:val="18"/>
              </w:rPr>
              <w:t>32 (34.8%)</w:t>
            </w:r>
          </w:p>
        </w:tc>
        <w:tc>
          <w:tcPr>
            <w:tcW w:w="1418" w:type="dxa"/>
            <w:tcBorders>
              <w:top w:val="nil"/>
              <w:left w:val="nil"/>
              <w:bottom w:val="nil"/>
              <w:right w:val="nil"/>
            </w:tcBorders>
            <w:shd w:val="clear" w:color="auto" w:fill="auto"/>
            <w:noWrap/>
            <w:vAlign w:val="center"/>
            <w:hideMark/>
          </w:tcPr>
          <w:p w14:paraId="1C9B1DA9" w14:textId="77777777" w:rsidR="00865307" w:rsidRPr="00865307" w:rsidRDefault="00865307" w:rsidP="008253C4">
            <w:pPr>
              <w:jc w:val="center"/>
              <w:rPr>
                <w:color w:val="000000"/>
                <w:sz w:val="18"/>
                <w:szCs w:val="18"/>
              </w:rPr>
            </w:pPr>
            <w:r w:rsidRPr="00865307">
              <w:rPr>
                <w:color w:val="000000"/>
                <w:sz w:val="18"/>
                <w:szCs w:val="18"/>
              </w:rPr>
              <w:t>3 (21.4%)</w:t>
            </w:r>
          </w:p>
        </w:tc>
        <w:tc>
          <w:tcPr>
            <w:tcW w:w="1417" w:type="dxa"/>
            <w:tcBorders>
              <w:top w:val="nil"/>
              <w:left w:val="nil"/>
              <w:bottom w:val="nil"/>
              <w:right w:val="nil"/>
            </w:tcBorders>
            <w:shd w:val="clear" w:color="auto" w:fill="auto"/>
            <w:noWrap/>
            <w:vAlign w:val="center"/>
            <w:hideMark/>
          </w:tcPr>
          <w:p w14:paraId="05CDACCC" w14:textId="77777777" w:rsidR="00865307" w:rsidRPr="00865307" w:rsidRDefault="00865307" w:rsidP="008253C4">
            <w:pPr>
              <w:jc w:val="center"/>
              <w:rPr>
                <w:color w:val="000000"/>
                <w:sz w:val="18"/>
                <w:szCs w:val="18"/>
              </w:rPr>
            </w:pPr>
            <w:r w:rsidRPr="00865307">
              <w:rPr>
                <w:color w:val="000000"/>
                <w:sz w:val="18"/>
                <w:szCs w:val="18"/>
              </w:rPr>
              <w:t>12 (48.0%)</w:t>
            </w:r>
          </w:p>
        </w:tc>
        <w:tc>
          <w:tcPr>
            <w:tcW w:w="1418" w:type="dxa"/>
            <w:tcBorders>
              <w:top w:val="nil"/>
              <w:left w:val="nil"/>
              <w:bottom w:val="nil"/>
              <w:right w:val="nil"/>
            </w:tcBorders>
            <w:shd w:val="clear" w:color="auto" w:fill="auto"/>
            <w:noWrap/>
            <w:vAlign w:val="center"/>
            <w:hideMark/>
          </w:tcPr>
          <w:p w14:paraId="3E6ABDC4" w14:textId="77777777" w:rsidR="00865307" w:rsidRPr="00865307" w:rsidRDefault="00865307" w:rsidP="008253C4">
            <w:pPr>
              <w:jc w:val="center"/>
              <w:rPr>
                <w:color w:val="000000"/>
                <w:sz w:val="18"/>
                <w:szCs w:val="18"/>
              </w:rPr>
            </w:pPr>
            <w:r w:rsidRPr="00865307">
              <w:rPr>
                <w:color w:val="000000"/>
                <w:sz w:val="18"/>
                <w:szCs w:val="18"/>
              </w:rPr>
              <w:t>11 (57.9%)</w:t>
            </w:r>
          </w:p>
        </w:tc>
        <w:tc>
          <w:tcPr>
            <w:tcW w:w="708" w:type="dxa"/>
            <w:tcBorders>
              <w:top w:val="nil"/>
              <w:left w:val="nil"/>
              <w:bottom w:val="nil"/>
              <w:right w:val="nil"/>
            </w:tcBorders>
            <w:shd w:val="clear" w:color="auto" w:fill="auto"/>
            <w:noWrap/>
            <w:vAlign w:val="center"/>
            <w:hideMark/>
          </w:tcPr>
          <w:p w14:paraId="1FFECFC3"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0D75313A" w14:textId="77777777" w:rsidR="00865307" w:rsidRPr="00865307" w:rsidRDefault="00865307" w:rsidP="008253C4">
            <w:pPr>
              <w:jc w:val="center"/>
              <w:rPr>
                <w:sz w:val="18"/>
                <w:szCs w:val="18"/>
              </w:rPr>
            </w:pPr>
          </w:p>
        </w:tc>
      </w:tr>
      <w:tr w:rsidR="00865307" w:rsidRPr="00865307" w14:paraId="771C86F2" w14:textId="77777777" w:rsidTr="008253C4">
        <w:trPr>
          <w:trHeight w:val="320"/>
        </w:trPr>
        <w:tc>
          <w:tcPr>
            <w:tcW w:w="283" w:type="dxa"/>
            <w:tcBorders>
              <w:top w:val="nil"/>
              <w:left w:val="nil"/>
              <w:bottom w:val="nil"/>
              <w:right w:val="nil"/>
            </w:tcBorders>
            <w:shd w:val="clear" w:color="auto" w:fill="auto"/>
            <w:noWrap/>
            <w:vAlign w:val="center"/>
            <w:hideMark/>
          </w:tcPr>
          <w:p w14:paraId="4514CC57"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49F000A5"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17558805" w14:textId="77777777" w:rsidR="00865307" w:rsidRPr="00865307" w:rsidRDefault="00865307" w:rsidP="008253C4">
            <w:pPr>
              <w:rPr>
                <w:color w:val="000000"/>
                <w:sz w:val="18"/>
                <w:szCs w:val="18"/>
              </w:rPr>
            </w:pPr>
            <w:r w:rsidRPr="00865307">
              <w:rPr>
                <w:color w:val="000000"/>
                <w:sz w:val="18"/>
                <w:szCs w:val="18"/>
              </w:rPr>
              <w:t>Primary glomerulonephritis</w:t>
            </w:r>
          </w:p>
        </w:tc>
        <w:tc>
          <w:tcPr>
            <w:tcW w:w="1701" w:type="dxa"/>
            <w:tcBorders>
              <w:top w:val="nil"/>
              <w:left w:val="nil"/>
              <w:bottom w:val="nil"/>
              <w:right w:val="nil"/>
            </w:tcBorders>
            <w:shd w:val="clear" w:color="auto" w:fill="auto"/>
            <w:noWrap/>
            <w:vAlign w:val="center"/>
            <w:hideMark/>
          </w:tcPr>
          <w:p w14:paraId="474FE5A2" w14:textId="77777777" w:rsidR="00865307" w:rsidRPr="00865307" w:rsidRDefault="00865307" w:rsidP="008253C4">
            <w:pPr>
              <w:jc w:val="center"/>
              <w:rPr>
                <w:color w:val="000000"/>
                <w:sz w:val="18"/>
                <w:szCs w:val="18"/>
              </w:rPr>
            </w:pPr>
            <w:r w:rsidRPr="00865307">
              <w:rPr>
                <w:color w:val="000000"/>
                <w:sz w:val="18"/>
                <w:szCs w:val="18"/>
              </w:rPr>
              <w:t>44 (29.3%)</w:t>
            </w:r>
          </w:p>
        </w:tc>
        <w:tc>
          <w:tcPr>
            <w:tcW w:w="1417" w:type="dxa"/>
            <w:tcBorders>
              <w:top w:val="nil"/>
              <w:left w:val="nil"/>
              <w:bottom w:val="nil"/>
              <w:right w:val="nil"/>
            </w:tcBorders>
            <w:shd w:val="clear" w:color="auto" w:fill="auto"/>
            <w:noWrap/>
            <w:vAlign w:val="center"/>
            <w:hideMark/>
          </w:tcPr>
          <w:p w14:paraId="5F294C12" w14:textId="77777777" w:rsidR="00865307" w:rsidRPr="00865307" w:rsidRDefault="00865307" w:rsidP="008253C4">
            <w:pPr>
              <w:jc w:val="center"/>
              <w:rPr>
                <w:color w:val="000000"/>
                <w:sz w:val="18"/>
                <w:szCs w:val="18"/>
              </w:rPr>
            </w:pPr>
            <w:r w:rsidRPr="00865307">
              <w:rPr>
                <w:color w:val="000000"/>
                <w:sz w:val="18"/>
                <w:szCs w:val="18"/>
              </w:rPr>
              <w:t>30 (32.6%)</w:t>
            </w:r>
          </w:p>
        </w:tc>
        <w:tc>
          <w:tcPr>
            <w:tcW w:w="1418" w:type="dxa"/>
            <w:tcBorders>
              <w:top w:val="nil"/>
              <w:left w:val="nil"/>
              <w:bottom w:val="nil"/>
              <w:right w:val="nil"/>
            </w:tcBorders>
            <w:shd w:val="clear" w:color="auto" w:fill="auto"/>
            <w:noWrap/>
            <w:vAlign w:val="center"/>
            <w:hideMark/>
          </w:tcPr>
          <w:p w14:paraId="4E582EAC" w14:textId="77777777" w:rsidR="00865307" w:rsidRPr="00865307" w:rsidRDefault="00865307" w:rsidP="008253C4">
            <w:pPr>
              <w:jc w:val="center"/>
              <w:rPr>
                <w:color w:val="000000"/>
                <w:sz w:val="18"/>
                <w:szCs w:val="18"/>
              </w:rPr>
            </w:pPr>
            <w:r w:rsidRPr="00865307">
              <w:rPr>
                <w:color w:val="000000"/>
                <w:sz w:val="18"/>
                <w:szCs w:val="18"/>
              </w:rPr>
              <w:t>3 (21.4%)</w:t>
            </w:r>
          </w:p>
        </w:tc>
        <w:tc>
          <w:tcPr>
            <w:tcW w:w="1417" w:type="dxa"/>
            <w:tcBorders>
              <w:top w:val="nil"/>
              <w:left w:val="nil"/>
              <w:bottom w:val="nil"/>
              <w:right w:val="nil"/>
            </w:tcBorders>
            <w:shd w:val="clear" w:color="auto" w:fill="auto"/>
            <w:noWrap/>
            <w:vAlign w:val="center"/>
            <w:hideMark/>
          </w:tcPr>
          <w:p w14:paraId="2803580C" w14:textId="77777777" w:rsidR="00865307" w:rsidRPr="00865307" w:rsidRDefault="00865307" w:rsidP="008253C4">
            <w:pPr>
              <w:jc w:val="center"/>
              <w:rPr>
                <w:color w:val="000000"/>
                <w:sz w:val="18"/>
                <w:szCs w:val="18"/>
              </w:rPr>
            </w:pPr>
            <w:r w:rsidRPr="00865307">
              <w:rPr>
                <w:color w:val="000000"/>
                <w:sz w:val="18"/>
                <w:szCs w:val="18"/>
              </w:rPr>
              <w:t>7 (28.0%)</w:t>
            </w:r>
          </w:p>
        </w:tc>
        <w:tc>
          <w:tcPr>
            <w:tcW w:w="1418" w:type="dxa"/>
            <w:tcBorders>
              <w:top w:val="nil"/>
              <w:left w:val="nil"/>
              <w:bottom w:val="nil"/>
              <w:right w:val="nil"/>
            </w:tcBorders>
            <w:shd w:val="clear" w:color="auto" w:fill="auto"/>
            <w:noWrap/>
            <w:vAlign w:val="center"/>
            <w:hideMark/>
          </w:tcPr>
          <w:p w14:paraId="23559CDA" w14:textId="77777777" w:rsidR="00865307" w:rsidRPr="00865307" w:rsidRDefault="00865307" w:rsidP="008253C4">
            <w:pPr>
              <w:jc w:val="center"/>
              <w:rPr>
                <w:color w:val="000000"/>
                <w:sz w:val="18"/>
                <w:szCs w:val="18"/>
              </w:rPr>
            </w:pPr>
            <w:r w:rsidRPr="00865307">
              <w:rPr>
                <w:color w:val="000000"/>
                <w:sz w:val="18"/>
                <w:szCs w:val="18"/>
              </w:rPr>
              <w:t>4 (21.1%)</w:t>
            </w:r>
          </w:p>
        </w:tc>
        <w:tc>
          <w:tcPr>
            <w:tcW w:w="708" w:type="dxa"/>
            <w:tcBorders>
              <w:top w:val="nil"/>
              <w:left w:val="nil"/>
              <w:bottom w:val="nil"/>
              <w:right w:val="nil"/>
            </w:tcBorders>
            <w:shd w:val="clear" w:color="auto" w:fill="auto"/>
            <w:noWrap/>
            <w:vAlign w:val="center"/>
            <w:hideMark/>
          </w:tcPr>
          <w:p w14:paraId="266F1E87"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0FF2F7E3" w14:textId="77777777" w:rsidR="00865307" w:rsidRPr="00865307" w:rsidRDefault="00865307" w:rsidP="008253C4">
            <w:pPr>
              <w:jc w:val="center"/>
              <w:rPr>
                <w:sz w:val="18"/>
                <w:szCs w:val="18"/>
              </w:rPr>
            </w:pPr>
          </w:p>
        </w:tc>
      </w:tr>
      <w:tr w:rsidR="00865307" w:rsidRPr="00865307" w14:paraId="7C749F5E" w14:textId="77777777" w:rsidTr="008253C4">
        <w:trPr>
          <w:trHeight w:val="320"/>
        </w:trPr>
        <w:tc>
          <w:tcPr>
            <w:tcW w:w="283" w:type="dxa"/>
            <w:tcBorders>
              <w:top w:val="nil"/>
              <w:left w:val="nil"/>
              <w:bottom w:val="nil"/>
              <w:right w:val="nil"/>
            </w:tcBorders>
            <w:shd w:val="clear" w:color="auto" w:fill="auto"/>
            <w:noWrap/>
            <w:vAlign w:val="center"/>
            <w:hideMark/>
          </w:tcPr>
          <w:p w14:paraId="1C71D6B2"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564629FA"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5CC54851" w14:textId="77777777" w:rsidR="00865307" w:rsidRPr="00865307" w:rsidRDefault="00865307" w:rsidP="008253C4">
            <w:pPr>
              <w:rPr>
                <w:color w:val="000000"/>
                <w:sz w:val="18"/>
                <w:szCs w:val="18"/>
              </w:rPr>
            </w:pPr>
            <w:r w:rsidRPr="00865307">
              <w:rPr>
                <w:color w:val="000000"/>
                <w:sz w:val="18"/>
                <w:szCs w:val="18"/>
              </w:rPr>
              <w:t>Hypertension</w:t>
            </w:r>
          </w:p>
        </w:tc>
        <w:tc>
          <w:tcPr>
            <w:tcW w:w="1701" w:type="dxa"/>
            <w:tcBorders>
              <w:top w:val="nil"/>
              <w:left w:val="nil"/>
              <w:bottom w:val="nil"/>
              <w:right w:val="nil"/>
            </w:tcBorders>
            <w:shd w:val="clear" w:color="auto" w:fill="auto"/>
            <w:noWrap/>
            <w:vAlign w:val="center"/>
            <w:hideMark/>
          </w:tcPr>
          <w:p w14:paraId="177425DE" w14:textId="77777777" w:rsidR="00865307" w:rsidRPr="00865307" w:rsidRDefault="00865307" w:rsidP="008253C4">
            <w:pPr>
              <w:jc w:val="center"/>
              <w:rPr>
                <w:color w:val="000000"/>
                <w:sz w:val="18"/>
                <w:szCs w:val="18"/>
              </w:rPr>
            </w:pPr>
            <w:r w:rsidRPr="00865307">
              <w:rPr>
                <w:color w:val="000000"/>
                <w:sz w:val="18"/>
                <w:szCs w:val="18"/>
              </w:rPr>
              <w:t>13 (8.7%)</w:t>
            </w:r>
          </w:p>
        </w:tc>
        <w:tc>
          <w:tcPr>
            <w:tcW w:w="1417" w:type="dxa"/>
            <w:tcBorders>
              <w:top w:val="nil"/>
              <w:left w:val="nil"/>
              <w:bottom w:val="nil"/>
              <w:right w:val="nil"/>
            </w:tcBorders>
            <w:shd w:val="clear" w:color="auto" w:fill="auto"/>
            <w:noWrap/>
            <w:vAlign w:val="center"/>
            <w:hideMark/>
          </w:tcPr>
          <w:p w14:paraId="5DDD7257" w14:textId="77777777" w:rsidR="00865307" w:rsidRPr="00865307" w:rsidRDefault="00865307" w:rsidP="008253C4">
            <w:pPr>
              <w:jc w:val="center"/>
              <w:rPr>
                <w:color w:val="000000"/>
                <w:sz w:val="18"/>
                <w:szCs w:val="18"/>
              </w:rPr>
            </w:pPr>
            <w:r w:rsidRPr="00865307">
              <w:rPr>
                <w:color w:val="000000"/>
                <w:sz w:val="18"/>
                <w:szCs w:val="18"/>
              </w:rPr>
              <w:t>8 (8.7%)</w:t>
            </w:r>
          </w:p>
        </w:tc>
        <w:tc>
          <w:tcPr>
            <w:tcW w:w="1418" w:type="dxa"/>
            <w:tcBorders>
              <w:top w:val="nil"/>
              <w:left w:val="nil"/>
              <w:bottom w:val="nil"/>
              <w:right w:val="nil"/>
            </w:tcBorders>
            <w:shd w:val="clear" w:color="auto" w:fill="auto"/>
            <w:noWrap/>
            <w:vAlign w:val="center"/>
            <w:hideMark/>
          </w:tcPr>
          <w:p w14:paraId="13785265" w14:textId="77777777" w:rsidR="00865307" w:rsidRPr="00865307" w:rsidRDefault="00865307" w:rsidP="008253C4">
            <w:pPr>
              <w:jc w:val="center"/>
              <w:rPr>
                <w:color w:val="000000"/>
                <w:sz w:val="18"/>
                <w:szCs w:val="18"/>
              </w:rPr>
            </w:pPr>
            <w:r w:rsidRPr="00865307">
              <w:rPr>
                <w:color w:val="000000"/>
                <w:sz w:val="18"/>
                <w:szCs w:val="18"/>
              </w:rPr>
              <w:t>1 (7.1%)</w:t>
            </w:r>
          </w:p>
        </w:tc>
        <w:tc>
          <w:tcPr>
            <w:tcW w:w="1417" w:type="dxa"/>
            <w:tcBorders>
              <w:top w:val="nil"/>
              <w:left w:val="nil"/>
              <w:bottom w:val="nil"/>
              <w:right w:val="nil"/>
            </w:tcBorders>
            <w:shd w:val="clear" w:color="auto" w:fill="auto"/>
            <w:noWrap/>
            <w:vAlign w:val="center"/>
            <w:hideMark/>
          </w:tcPr>
          <w:p w14:paraId="09FD978E" w14:textId="77777777" w:rsidR="00865307" w:rsidRPr="00865307" w:rsidRDefault="00865307" w:rsidP="008253C4">
            <w:pPr>
              <w:jc w:val="center"/>
              <w:rPr>
                <w:color w:val="000000"/>
                <w:sz w:val="18"/>
                <w:szCs w:val="18"/>
              </w:rPr>
            </w:pPr>
            <w:r w:rsidRPr="00865307">
              <w:rPr>
                <w:color w:val="000000"/>
                <w:sz w:val="18"/>
                <w:szCs w:val="18"/>
              </w:rPr>
              <w:t>2 (8.0%)</w:t>
            </w:r>
          </w:p>
        </w:tc>
        <w:tc>
          <w:tcPr>
            <w:tcW w:w="1418" w:type="dxa"/>
            <w:tcBorders>
              <w:top w:val="nil"/>
              <w:left w:val="nil"/>
              <w:bottom w:val="nil"/>
              <w:right w:val="nil"/>
            </w:tcBorders>
            <w:shd w:val="clear" w:color="auto" w:fill="auto"/>
            <w:noWrap/>
            <w:vAlign w:val="center"/>
            <w:hideMark/>
          </w:tcPr>
          <w:p w14:paraId="60ABD22A" w14:textId="77777777" w:rsidR="00865307" w:rsidRPr="00865307" w:rsidRDefault="00865307" w:rsidP="008253C4">
            <w:pPr>
              <w:jc w:val="center"/>
              <w:rPr>
                <w:color w:val="000000"/>
                <w:sz w:val="18"/>
                <w:szCs w:val="18"/>
              </w:rPr>
            </w:pPr>
            <w:r w:rsidRPr="00865307">
              <w:rPr>
                <w:color w:val="000000"/>
                <w:sz w:val="18"/>
                <w:szCs w:val="18"/>
              </w:rPr>
              <w:t>1 (5.3%)</w:t>
            </w:r>
          </w:p>
        </w:tc>
        <w:tc>
          <w:tcPr>
            <w:tcW w:w="708" w:type="dxa"/>
            <w:tcBorders>
              <w:top w:val="nil"/>
              <w:left w:val="nil"/>
              <w:bottom w:val="nil"/>
              <w:right w:val="nil"/>
            </w:tcBorders>
            <w:shd w:val="clear" w:color="auto" w:fill="auto"/>
            <w:noWrap/>
            <w:vAlign w:val="center"/>
            <w:hideMark/>
          </w:tcPr>
          <w:p w14:paraId="3AAA7C36"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396BED1F" w14:textId="77777777" w:rsidR="00865307" w:rsidRPr="00865307" w:rsidRDefault="00865307" w:rsidP="008253C4">
            <w:pPr>
              <w:jc w:val="center"/>
              <w:rPr>
                <w:sz w:val="18"/>
                <w:szCs w:val="18"/>
              </w:rPr>
            </w:pPr>
          </w:p>
        </w:tc>
      </w:tr>
      <w:tr w:rsidR="00865307" w:rsidRPr="00865307" w14:paraId="40E003CE" w14:textId="77777777" w:rsidTr="008253C4">
        <w:trPr>
          <w:trHeight w:val="320"/>
        </w:trPr>
        <w:tc>
          <w:tcPr>
            <w:tcW w:w="283" w:type="dxa"/>
            <w:tcBorders>
              <w:top w:val="nil"/>
              <w:left w:val="nil"/>
              <w:bottom w:val="nil"/>
              <w:right w:val="nil"/>
            </w:tcBorders>
            <w:shd w:val="clear" w:color="auto" w:fill="auto"/>
            <w:noWrap/>
            <w:vAlign w:val="center"/>
            <w:hideMark/>
          </w:tcPr>
          <w:p w14:paraId="2112C293"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67BF4AC1"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30A3C7A6" w14:textId="77777777" w:rsidR="00865307" w:rsidRPr="00865307" w:rsidRDefault="00865307" w:rsidP="008253C4">
            <w:pPr>
              <w:rPr>
                <w:color w:val="000000"/>
                <w:sz w:val="18"/>
                <w:szCs w:val="18"/>
              </w:rPr>
            </w:pPr>
            <w:r w:rsidRPr="00865307">
              <w:rPr>
                <w:color w:val="000000"/>
                <w:sz w:val="18"/>
                <w:szCs w:val="18"/>
              </w:rPr>
              <w:t>IgA nephropathy</w:t>
            </w:r>
          </w:p>
        </w:tc>
        <w:tc>
          <w:tcPr>
            <w:tcW w:w="1701" w:type="dxa"/>
            <w:tcBorders>
              <w:top w:val="nil"/>
              <w:left w:val="nil"/>
              <w:bottom w:val="nil"/>
              <w:right w:val="nil"/>
            </w:tcBorders>
            <w:shd w:val="clear" w:color="auto" w:fill="auto"/>
            <w:noWrap/>
            <w:vAlign w:val="center"/>
            <w:hideMark/>
          </w:tcPr>
          <w:p w14:paraId="162EF69C" w14:textId="77777777" w:rsidR="00865307" w:rsidRPr="00865307" w:rsidRDefault="00865307" w:rsidP="008253C4">
            <w:pPr>
              <w:jc w:val="center"/>
              <w:rPr>
                <w:color w:val="000000"/>
                <w:sz w:val="18"/>
                <w:szCs w:val="18"/>
              </w:rPr>
            </w:pPr>
            <w:r w:rsidRPr="00865307">
              <w:rPr>
                <w:color w:val="000000"/>
                <w:sz w:val="18"/>
                <w:szCs w:val="18"/>
              </w:rPr>
              <w:t>7 (4.7%)</w:t>
            </w:r>
          </w:p>
        </w:tc>
        <w:tc>
          <w:tcPr>
            <w:tcW w:w="1417" w:type="dxa"/>
            <w:tcBorders>
              <w:top w:val="nil"/>
              <w:left w:val="nil"/>
              <w:bottom w:val="nil"/>
              <w:right w:val="nil"/>
            </w:tcBorders>
            <w:shd w:val="clear" w:color="auto" w:fill="auto"/>
            <w:noWrap/>
            <w:vAlign w:val="center"/>
            <w:hideMark/>
          </w:tcPr>
          <w:p w14:paraId="22B78734" w14:textId="77777777" w:rsidR="00865307" w:rsidRPr="00865307" w:rsidRDefault="00865307" w:rsidP="008253C4">
            <w:pPr>
              <w:jc w:val="center"/>
              <w:rPr>
                <w:color w:val="000000"/>
                <w:sz w:val="18"/>
                <w:szCs w:val="18"/>
              </w:rPr>
            </w:pPr>
            <w:r w:rsidRPr="00865307">
              <w:rPr>
                <w:color w:val="000000"/>
                <w:sz w:val="18"/>
                <w:szCs w:val="18"/>
              </w:rPr>
              <w:t>3 (3.3%)</w:t>
            </w:r>
          </w:p>
        </w:tc>
        <w:tc>
          <w:tcPr>
            <w:tcW w:w="1418" w:type="dxa"/>
            <w:tcBorders>
              <w:top w:val="nil"/>
              <w:left w:val="nil"/>
              <w:bottom w:val="nil"/>
              <w:right w:val="nil"/>
            </w:tcBorders>
            <w:shd w:val="clear" w:color="auto" w:fill="auto"/>
            <w:noWrap/>
            <w:vAlign w:val="center"/>
            <w:hideMark/>
          </w:tcPr>
          <w:p w14:paraId="75CAA922" w14:textId="77777777" w:rsidR="00865307" w:rsidRPr="00865307" w:rsidRDefault="00865307" w:rsidP="008253C4">
            <w:pPr>
              <w:jc w:val="center"/>
              <w:rPr>
                <w:color w:val="000000"/>
                <w:sz w:val="18"/>
                <w:szCs w:val="18"/>
              </w:rPr>
            </w:pPr>
            <w:r w:rsidRPr="00865307">
              <w:rPr>
                <w:color w:val="000000"/>
                <w:sz w:val="18"/>
                <w:szCs w:val="18"/>
              </w:rPr>
              <w:t>2 (14.3%)</w:t>
            </w:r>
          </w:p>
        </w:tc>
        <w:tc>
          <w:tcPr>
            <w:tcW w:w="1417" w:type="dxa"/>
            <w:tcBorders>
              <w:top w:val="nil"/>
              <w:left w:val="nil"/>
              <w:bottom w:val="nil"/>
              <w:right w:val="nil"/>
            </w:tcBorders>
            <w:shd w:val="clear" w:color="auto" w:fill="auto"/>
            <w:noWrap/>
            <w:vAlign w:val="center"/>
            <w:hideMark/>
          </w:tcPr>
          <w:p w14:paraId="7AC775FC" w14:textId="77777777" w:rsidR="00865307" w:rsidRPr="00865307" w:rsidRDefault="00865307" w:rsidP="008253C4">
            <w:pPr>
              <w:jc w:val="center"/>
              <w:rPr>
                <w:color w:val="000000"/>
                <w:sz w:val="18"/>
                <w:szCs w:val="18"/>
              </w:rPr>
            </w:pPr>
            <w:r w:rsidRPr="00865307">
              <w:rPr>
                <w:color w:val="000000"/>
                <w:sz w:val="18"/>
                <w:szCs w:val="18"/>
              </w:rPr>
              <w:t>2 (8.0%)</w:t>
            </w:r>
          </w:p>
        </w:tc>
        <w:tc>
          <w:tcPr>
            <w:tcW w:w="1418" w:type="dxa"/>
            <w:tcBorders>
              <w:top w:val="nil"/>
              <w:left w:val="nil"/>
              <w:bottom w:val="nil"/>
              <w:right w:val="nil"/>
            </w:tcBorders>
            <w:shd w:val="clear" w:color="auto" w:fill="auto"/>
            <w:noWrap/>
            <w:vAlign w:val="center"/>
            <w:hideMark/>
          </w:tcPr>
          <w:p w14:paraId="51062F78" w14:textId="77777777" w:rsidR="00865307" w:rsidRPr="00865307" w:rsidRDefault="00865307" w:rsidP="008253C4">
            <w:pPr>
              <w:jc w:val="center"/>
              <w:rPr>
                <w:color w:val="000000"/>
                <w:sz w:val="18"/>
                <w:szCs w:val="18"/>
              </w:rPr>
            </w:pPr>
            <w:r w:rsidRPr="00865307">
              <w:rPr>
                <w:color w:val="000000"/>
                <w:sz w:val="18"/>
                <w:szCs w:val="18"/>
              </w:rPr>
              <w:t>1 (5.3%)</w:t>
            </w:r>
          </w:p>
        </w:tc>
        <w:tc>
          <w:tcPr>
            <w:tcW w:w="708" w:type="dxa"/>
            <w:tcBorders>
              <w:top w:val="nil"/>
              <w:left w:val="nil"/>
              <w:bottom w:val="nil"/>
              <w:right w:val="nil"/>
            </w:tcBorders>
            <w:shd w:val="clear" w:color="auto" w:fill="auto"/>
            <w:noWrap/>
            <w:vAlign w:val="center"/>
            <w:hideMark/>
          </w:tcPr>
          <w:p w14:paraId="7557F039"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49A7AE8C" w14:textId="77777777" w:rsidR="00865307" w:rsidRPr="00865307" w:rsidRDefault="00865307" w:rsidP="008253C4">
            <w:pPr>
              <w:jc w:val="center"/>
              <w:rPr>
                <w:sz w:val="18"/>
                <w:szCs w:val="18"/>
              </w:rPr>
            </w:pPr>
          </w:p>
        </w:tc>
      </w:tr>
      <w:tr w:rsidR="00865307" w:rsidRPr="00865307" w14:paraId="7B2F24D4" w14:textId="77777777" w:rsidTr="008253C4">
        <w:trPr>
          <w:trHeight w:val="320"/>
        </w:trPr>
        <w:tc>
          <w:tcPr>
            <w:tcW w:w="283" w:type="dxa"/>
            <w:tcBorders>
              <w:top w:val="nil"/>
              <w:left w:val="nil"/>
              <w:bottom w:val="nil"/>
              <w:right w:val="nil"/>
            </w:tcBorders>
            <w:shd w:val="clear" w:color="auto" w:fill="auto"/>
            <w:noWrap/>
            <w:vAlign w:val="center"/>
            <w:hideMark/>
          </w:tcPr>
          <w:p w14:paraId="6CFED298"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06E20C7B"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29057685" w14:textId="77777777" w:rsidR="00865307" w:rsidRPr="00865307" w:rsidRDefault="00865307" w:rsidP="008253C4">
            <w:pPr>
              <w:rPr>
                <w:color w:val="000000"/>
                <w:sz w:val="18"/>
                <w:szCs w:val="18"/>
              </w:rPr>
            </w:pPr>
            <w:r w:rsidRPr="00865307">
              <w:rPr>
                <w:color w:val="000000"/>
                <w:sz w:val="18"/>
                <w:szCs w:val="18"/>
              </w:rPr>
              <w:t>Polycystic kidney disease</w:t>
            </w:r>
          </w:p>
        </w:tc>
        <w:tc>
          <w:tcPr>
            <w:tcW w:w="1701" w:type="dxa"/>
            <w:tcBorders>
              <w:top w:val="nil"/>
              <w:left w:val="nil"/>
              <w:bottom w:val="nil"/>
              <w:right w:val="nil"/>
            </w:tcBorders>
            <w:shd w:val="clear" w:color="auto" w:fill="auto"/>
            <w:noWrap/>
            <w:vAlign w:val="center"/>
            <w:hideMark/>
          </w:tcPr>
          <w:p w14:paraId="51A089C2" w14:textId="77777777" w:rsidR="00865307" w:rsidRPr="00865307" w:rsidRDefault="00865307" w:rsidP="008253C4">
            <w:pPr>
              <w:jc w:val="center"/>
              <w:rPr>
                <w:color w:val="000000"/>
                <w:sz w:val="18"/>
                <w:szCs w:val="18"/>
              </w:rPr>
            </w:pPr>
            <w:r w:rsidRPr="00865307">
              <w:rPr>
                <w:color w:val="000000"/>
                <w:sz w:val="18"/>
                <w:szCs w:val="18"/>
              </w:rPr>
              <w:t>3 (2.0%)</w:t>
            </w:r>
          </w:p>
        </w:tc>
        <w:tc>
          <w:tcPr>
            <w:tcW w:w="1417" w:type="dxa"/>
            <w:tcBorders>
              <w:top w:val="nil"/>
              <w:left w:val="nil"/>
              <w:bottom w:val="nil"/>
              <w:right w:val="nil"/>
            </w:tcBorders>
            <w:shd w:val="clear" w:color="auto" w:fill="auto"/>
            <w:noWrap/>
            <w:vAlign w:val="center"/>
            <w:hideMark/>
          </w:tcPr>
          <w:p w14:paraId="16D1AF38" w14:textId="77777777" w:rsidR="00865307" w:rsidRPr="00865307" w:rsidRDefault="00865307" w:rsidP="008253C4">
            <w:pPr>
              <w:jc w:val="center"/>
              <w:rPr>
                <w:color w:val="000000"/>
                <w:sz w:val="18"/>
                <w:szCs w:val="18"/>
              </w:rPr>
            </w:pPr>
            <w:r w:rsidRPr="00865307">
              <w:rPr>
                <w:color w:val="000000"/>
                <w:sz w:val="18"/>
                <w:szCs w:val="18"/>
              </w:rPr>
              <w:t>1 (1.1%)</w:t>
            </w:r>
          </w:p>
        </w:tc>
        <w:tc>
          <w:tcPr>
            <w:tcW w:w="1418" w:type="dxa"/>
            <w:tcBorders>
              <w:top w:val="nil"/>
              <w:left w:val="nil"/>
              <w:bottom w:val="nil"/>
              <w:right w:val="nil"/>
            </w:tcBorders>
            <w:shd w:val="clear" w:color="auto" w:fill="auto"/>
            <w:noWrap/>
            <w:vAlign w:val="center"/>
            <w:hideMark/>
          </w:tcPr>
          <w:p w14:paraId="053BC5B9" w14:textId="77777777" w:rsidR="00865307" w:rsidRPr="00865307" w:rsidRDefault="00865307" w:rsidP="008253C4">
            <w:pPr>
              <w:jc w:val="center"/>
              <w:rPr>
                <w:color w:val="000000"/>
                <w:sz w:val="18"/>
                <w:szCs w:val="18"/>
              </w:rPr>
            </w:pPr>
            <w:r w:rsidRPr="00865307">
              <w:rPr>
                <w:color w:val="000000"/>
                <w:sz w:val="18"/>
                <w:szCs w:val="18"/>
              </w:rPr>
              <w:t>1 (7.1%)</w:t>
            </w:r>
          </w:p>
        </w:tc>
        <w:tc>
          <w:tcPr>
            <w:tcW w:w="1417" w:type="dxa"/>
            <w:tcBorders>
              <w:top w:val="nil"/>
              <w:left w:val="nil"/>
              <w:bottom w:val="nil"/>
              <w:right w:val="nil"/>
            </w:tcBorders>
            <w:shd w:val="clear" w:color="auto" w:fill="auto"/>
            <w:noWrap/>
            <w:vAlign w:val="center"/>
            <w:hideMark/>
          </w:tcPr>
          <w:p w14:paraId="611CFD88" w14:textId="77777777" w:rsidR="00865307" w:rsidRPr="00865307" w:rsidRDefault="00865307" w:rsidP="008253C4">
            <w:pPr>
              <w:jc w:val="center"/>
              <w:rPr>
                <w:color w:val="000000"/>
                <w:sz w:val="18"/>
                <w:szCs w:val="18"/>
              </w:rPr>
            </w:pPr>
            <w:r w:rsidRPr="00865307">
              <w:rPr>
                <w:color w:val="000000"/>
                <w:sz w:val="18"/>
                <w:szCs w:val="18"/>
              </w:rPr>
              <w:t>0 (0.0%)</w:t>
            </w:r>
          </w:p>
        </w:tc>
        <w:tc>
          <w:tcPr>
            <w:tcW w:w="1418" w:type="dxa"/>
            <w:tcBorders>
              <w:top w:val="nil"/>
              <w:left w:val="nil"/>
              <w:bottom w:val="nil"/>
              <w:right w:val="nil"/>
            </w:tcBorders>
            <w:shd w:val="clear" w:color="auto" w:fill="auto"/>
            <w:noWrap/>
            <w:vAlign w:val="center"/>
            <w:hideMark/>
          </w:tcPr>
          <w:p w14:paraId="30373482" w14:textId="77777777" w:rsidR="00865307" w:rsidRPr="00865307" w:rsidRDefault="00865307" w:rsidP="008253C4">
            <w:pPr>
              <w:jc w:val="center"/>
              <w:rPr>
                <w:color w:val="000000"/>
                <w:sz w:val="18"/>
                <w:szCs w:val="18"/>
              </w:rPr>
            </w:pPr>
            <w:r w:rsidRPr="00865307">
              <w:rPr>
                <w:color w:val="000000"/>
                <w:sz w:val="18"/>
                <w:szCs w:val="18"/>
              </w:rPr>
              <w:t>1 (5.3%)</w:t>
            </w:r>
          </w:p>
        </w:tc>
        <w:tc>
          <w:tcPr>
            <w:tcW w:w="708" w:type="dxa"/>
            <w:tcBorders>
              <w:top w:val="nil"/>
              <w:left w:val="nil"/>
              <w:bottom w:val="nil"/>
              <w:right w:val="nil"/>
            </w:tcBorders>
            <w:shd w:val="clear" w:color="auto" w:fill="auto"/>
            <w:noWrap/>
            <w:vAlign w:val="center"/>
            <w:hideMark/>
          </w:tcPr>
          <w:p w14:paraId="50E61A7E"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2693479D" w14:textId="77777777" w:rsidR="00865307" w:rsidRPr="00865307" w:rsidRDefault="00865307" w:rsidP="008253C4">
            <w:pPr>
              <w:jc w:val="center"/>
              <w:rPr>
                <w:sz w:val="18"/>
                <w:szCs w:val="18"/>
              </w:rPr>
            </w:pPr>
          </w:p>
        </w:tc>
      </w:tr>
      <w:tr w:rsidR="00865307" w:rsidRPr="00865307" w14:paraId="1953C8C0" w14:textId="77777777" w:rsidTr="008253C4">
        <w:trPr>
          <w:trHeight w:val="320"/>
        </w:trPr>
        <w:tc>
          <w:tcPr>
            <w:tcW w:w="283" w:type="dxa"/>
            <w:tcBorders>
              <w:top w:val="nil"/>
              <w:left w:val="nil"/>
              <w:bottom w:val="nil"/>
              <w:right w:val="nil"/>
            </w:tcBorders>
            <w:shd w:val="clear" w:color="auto" w:fill="auto"/>
            <w:noWrap/>
            <w:vAlign w:val="center"/>
            <w:hideMark/>
          </w:tcPr>
          <w:p w14:paraId="5AA4CE34"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7F877E06"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0BFAA3EB" w14:textId="77777777" w:rsidR="00865307" w:rsidRPr="00865307" w:rsidRDefault="00865307" w:rsidP="008253C4">
            <w:pPr>
              <w:rPr>
                <w:color w:val="000000"/>
                <w:sz w:val="18"/>
                <w:szCs w:val="18"/>
              </w:rPr>
            </w:pPr>
            <w:r w:rsidRPr="00865307">
              <w:rPr>
                <w:color w:val="000000"/>
                <w:sz w:val="18"/>
                <w:szCs w:val="18"/>
              </w:rPr>
              <w:t>Others/uncertain aetiology</w:t>
            </w:r>
          </w:p>
        </w:tc>
        <w:tc>
          <w:tcPr>
            <w:tcW w:w="1701" w:type="dxa"/>
            <w:tcBorders>
              <w:top w:val="nil"/>
              <w:left w:val="nil"/>
              <w:bottom w:val="nil"/>
              <w:right w:val="nil"/>
            </w:tcBorders>
            <w:shd w:val="clear" w:color="auto" w:fill="auto"/>
            <w:noWrap/>
            <w:vAlign w:val="center"/>
            <w:hideMark/>
          </w:tcPr>
          <w:p w14:paraId="296F2C0A" w14:textId="77777777" w:rsidR="00865307" w:rsidRPr="00865307" w:rsidRDefault="00865307" w:rsidP="008253C4">
            <w:pPr>
              <w:jc w:val="center"/>
              <w:rPr>
                <w:color w:val="000000"/>
                <w:sz w:val="18"/>
                <w:szCs w:val="18"/>
              </w:rPr>
            </w:pPr>
            <w:r w:rsidRPr="00865307">
              <w:rPr>
                <w:color w:val="000000"/>
                <w:sz w:val="18"/>
                <w:szCs w:val="18"/>
              </w:rPr>
              <w:t>25 (16.7%)</w:t>
            </w:r>
          </w:p>
        </w:tc>
        <w:tc>
          <w:tcPr>
            <w:tcW w:w="1417" w:type="dxa"/>
            <w:tcBorders>
              <w:top w:val="nil"/>
              <w:left w:val="nil"/>
              <w:bottom w:val="nil"/>
              <w:right w:val="nil"/>
            </w:tcBorders>
            <w:shd w:val="clear" w:color="auto" w:fill="auto"/>
            <w:noWrap/>
            <w:vAlign w:val="center"/>
            <w:hideMark/>
          </w:tcPr>
          <w:p w14:paraId="28F941EB" w14:textId="77777777" w:rsidR="00865307" w:rsidRPr="00865307" w:rsidRDefault="00865307" w:rsidP="008253C4">
            <w:pPr>
              <w:jc w:val="center"/>
              <w:rPr>
                <w:color w:val="000000"/>
                <w:sz w:val="18"/>
                <w:szCs w:val="18"/>
              </w:rPr>
            </w:pPr>
            <w:r w:rsidRPr="00865307">
              <w:rPr>
                <w:color w:val="000000"/>
                <w:sz w:val="18"/>
                <w:szCs w:val="18"/>
              </w:rPr>
              <w:t>18 (19.6%)</w:t>
            </w:r>
          </w:p>
        </w:tc>
        <w:tc>
          <w:tcPr>
            <w:tcW w:w="1418" w:type="dxa"/>
            <w:tcBorders>
              <w:top w:val="nil"/>
              <w:left w:val="nil"/>
              <w:bottom w:val="nil"/>
              <w:right w:val="nil"/>
            </w:tcBorders>
            <w:shd w:val="clear" w:color="auto" w:fill="auto"/>
            <w:noWrap/>
            <w:vAlign w:val="center"/>
            <w:hideMark/>
          </w:tcPr>
          <w:p w14:paraId="7D629661" w14:textId="77777777" w:rsidR="00865307" w:rsidRPr="00865307" w:rsidRDefault="00865307" w:rsidP="008253C4">
            <w:pPr>
              <w:jc w:val="center"/>
              <w:rPr>
                <w:color w:val="000000"/>
                <w:sz w:val="18"/>
                <w:szCs w:val="18"/>
              </w:rPr>
            </w:pPr>
            <w:r w:rsidRPr="00865307">
              <w:rPr>
                <w:color w:val="000000"/>
                <w:sz w:val="18"/>
                <w:szCs w:val="18"/>
              </w:rPr>
              <w:t>4 (28.6%)</w:t>
            </w:r>
          </w:p>
        </w:tc>
        <w:tc>
          <w:tcPr>
            <w:tcW w:w="1417" w:type="dxa"/>
            <w:tcBorders>
              <w:top w:val="nil"/>
              <w:left w:val="nil"/>
              <w:bottom w:val="nil"/>
              <w:right w:val="nil"/>
            </w:tcBorders>
            <w:shd w:val="clear" w:color="auto" w:fill="auto"/>
            <w:noWrap/>
            <w:vAlign w:val="center"/>
            <w:hideMark/>
          </w:tcPr>
          <w:p w14:paraId="4A30086A" w14:textId="77777777" w:rsidR="00865307" w:rsidRPr="00865307" w:rsidRDefault="00865307" w:rsidP="008253C4">
            <w:pPr>
              <w:jc w:val="center"/>
              <w:rPr>
                <w:color w:val="000000"/>
                <w:sz w:val="18"/>
                <w:szCs w:val="18"/>
              </w:rPr>
            </w:pPr>
            <w:r w:rsidRPr="00865307">
              <w:rPr>
                <w:color w:val="000000"/>
                <w:sz w:val="18"/>
                <w:szCs w:val="18"/>
              </w:rPr>
              <w:t>2 (8.0%)</w:t>
            </w:r>
          </w:p>
        </w:tc>
        <w:tc>
          <w:tcPr>
            <w:tcW w:w="1418" w:type="dxa"/>
            <w:tcBorders>
              <w:top w:val="nil"/>
              <w:left w:val="nil"/>
              <w:bottom w:val="nil"/>
              <w:right w:val="nil"/>
            </w:tcBorders>
            <w:shd w:val="clear" w:color="auto" w:fill="auto"/>
            <w:noWrap/>
            <w:vAlign w:val="center"/>
            <w:hideMark/>
          </w:tcPr>
          <w:p w14:paraId="2FBFAA0B" w14:textId="77777777" w:rsidR="00865307" w:rsidRPr="00865307" w:rsidRDefault="00865307" w:rsidP="008253C4">
            <w:pPr>
              <w:jc w:val="center"/>
              <w:rPr>
                <w:color w:val="000000"/>
                <w:sz w:val="18"/>
                <w:szCs w:val="18"/>
              </w:rPr>
            </w:pPr>
            <w:r w:rsidRPr="00865307">
              <w:rPr>
                <w:color w:val="000000"/>
                <w:sz w:val="18"/>
                <w:szCs w:val="18"/>
              </w:rPr>
              <w:t>1 (5.3%)</w:t>
            </w:r>
          </w:p>
        </w:tc>
        <w:tc>
          <w:tcPr>
            <w:tcW w:w="708" w:type="dxa"/>
            <w:tcBorders>
              <w:top w:val="nil"/>
              <w:left w:val="nil"/>
              <w:bottom w:val="nil"/>
              <w:right w:val="nil"/>
            </w:tcBorders>
            <w:shd w:val="clear" w:color="auto" w:fill="auto"/>
            <w:noWrap/>
            <w:vAlign w:val="center"/>
            <w:hideMark/>
          </w:tcPr>
          <w:p w14:paraId="66EB322C"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67F0BB71" w14:textId="77777777" w:rsidR="00865307" w:rsidRPr="00865307" w:rsidRDefault="00865307" w:rsidP="008253C4">
            <w:pPr>
              <w:jc w:val="center"/>
              <w:rPr>
                <w:sz w:val="18"/>
                <w:szCs w:val="18"/>
              </w:rPr>
            </w:pPr>
          </w:p>
        </w:tc>
      </w:tr>
      <w:tr w:rsidR="00865307" w:rsidRPr="00865307" w14:paraId="57085DCF" w14:textId="77777777" w:rsidTr="008253C4">
        <w:trPr>
          <w:trHeight w:val="320"/>
        </w:trPr>
        <w:tc>
          <w:tcPr>
            <w:tcW w:w="283" w:type="dxa"/>
            <w:tcBorders>
              <w:top w:val="nil"/>
              <w:left w:val="nil"/>
              <w:bottom w:val="nil"/>
              <w:right w:val="nil"/>
            </w:tcBorders>
            <w:shd w:val="clear" w:color="auto" w:fill="auto"/>
            <w:noWrap/>
            <w:vAlign w:val="center"/>
            <w:hideMark/>
          </w:tcPr>
          <w:p w14:paraId="3E493A67"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1A52544B" w14:textId="77777777" w:rsidR="00865307" w:rsidRPr="00865307" w:rsidRDefault="00865307" w:rsidP="008253C4">
            <w:pPr>
              <w:rPr>
                <w:color w:val="000000"/>
                <w:sz w:val="18"/>
                <w:szCs w:val="18"/>
              </w:rPr>
            </w:pPr>
            <w:r w:rsidRPr="00865307">
              <w:rPr>
                <w:color w:val="000000"/>
                <w:sz w:val="18"/>
                <w:szCs w:val="18"/>
              </w:rPr>
              <w:t>Duration on HD (months)</w:t>
            </w:r>
          </w:p>
        </w:tc>
        <w:tc>
          <w:tcPr>
            <w:tcW w:w="1701" w:type="dxa"/>
            <w:tcBorders>
              <w:top w:val="nil"/>
              <w:left w:val="nil"/>
              <w:bottom w:val="nil"/>
              <w:right w:val="nil"/>
            </w:tcBorders>
            <w:shd w:val="clear" w:color="auto" w:fill="auto"/>
            <w:noWrap/>
            <w:vAlign w:val="center"/>
            <w:hideMark/>
          </w:tcPr>
          <w:p w14:paraId="637870AD" w14:textId="77777777" w:rsidR="00865307" w:rsidRPr="00865307" w:rsidRDefault="00865307" w:rsidP="008253C4">
            <w:pPr>
              <w:jc w:val="center"/>
              <w:rPr>
                <w:color w:val="000000"/>
                <w:sz w:val="18"/>
                <w:szCs w:val="18"/>
              </w:rPr>
            </w:pPr>
            <w:r w:rsidRPr="00865307">
              <w:rPr>
                <w:color w:val="000000"/>
                <w:sz w:val="18"/>
                <w:szCs w:val="18"/>
              </w:rPr>
              <w:t>50.60 (53.79)</w:t>
            </w:r>
          </w:p>
        </w:tc>
        <w:tc>
          <w:tcPr>
            <w:tcW w:w="1417" w:type="dxa"/>
            <w:tcBorders>
              <w:top w:val="nil"/>
              <w:left w:val="nil"/>
              <w:bottom w:val="nil"/>
              <w:right w:val="nil"/>
            </w:tcBorders>
            <w:shd w:val="clear" w:color="auto" w:fill="auto"/>
            <w:noWrap/>
            <w:vAlign w:val="center"/>
            <w:hideMark/>
          </w:tcPr>
          <w:p w14:paraId="1E8775DD" w14:textId="77777777" w:rsidR="00865307" w:rsidRPr="00865307" w:rsidRDefault="00865307" w:rsidP="008253C4">
            <w:pPr>
              <w:jc w:val="center"/>
              <w:rPr>
                <w:color w:val="000000"/>
                <w:sz w:val="18"/>
                <w:szCs w:val="18"/>
              </w:rPr>
            </w:pPr>
            <w:r w:rsidRPr="00865307">
              <w:rPr>
                <w:color w:val="000000"/>
                <w:sz w:val="18"/>
                <w:szCs w:val="18"/>
              </w:rPr>
              <w:t>57.93 (56.35)</w:t>
            </w:r>
          </w:p>
        </w:tc>
        <w:tc>
          <w:tcPr>
            <w:tcW w:w="1418" w:type="dxa"/>
            <w:tcBorders>
              <w:top w:val="nil"/>
              <w:left w:val="nil"/>
              <w:bottom w:val="nil"/>
              <w:right w:val="nil"/>
            </w:tcBorders>
            <w:shd w:val="clear" w:color="auto" w:fill="auto"/>
            <w:noWrap/>
            <w:vAlign w:val="center"/>
            <w:hideMark/>
          </w:tcPr>
          <w:p w14:paraId="4DC17108" w14:textId="77777777" w:rsidR="00865307" w:rsidRPr="00865307" w:rsidRDefault="00865307" w:rsidP="008253C4">
            <w:pPr>
              <w:jc w:val="center"/>
              <w:rPr>
                <w:color w:val="000000"/>
                <w:sz w:val="18"/>
                <w:szCs w:val="18"/>
              </w:rPr>
            </w:pPr>
            <w:r w:rsidRPr="00865307">
              <w:rPr>
                <w:color w:val="000000"/>
                <w:sz w:val="18"/>
                <w:szCs w:val="18"/>
              </w:rPr>
              <w:t>47.50 (45.15)</w:t>
            </w:r>
          </w:p>
        </w:tc>
        <w:tc>
          <w:tcPr>
            <w:tcW w:w="1417" w:type="dxa"/>
            <w:tcBorders>
              <w:top w:val="nil"/>
              <w:left w:val="nil"/>
              <w:bottom w:val="nil"/>
              <w:right w:val="nil"/>
            </w:tcBorders>
            <w:shd w:val="clear" w:color="auto" w:fill="auto"/>
            <w:noWrap/>
            <w:vAlign w:val="center"/>
            <w:hideMark/>
          </w:tcPr>
          <w:p w14:paraId="111A2044" w14:textId="77777777" w:rsidR="00865307" w:rsidRPr="00865307" w:rsidRDefault="00865307" w:rsidP="008253C4">
            <w:pPr>
              <w:jc w:val="center"/>
              <w:rPr>
                <w:color w:val="000000"/>
                <w:sz w:val="18"/>
                <w:szCs w:val="18"/>
              </w:rPr>
            </w:pPr>
            <w:r w:rsidRPr="00865307">
              <w:rPr>
                <w:color w:val="000000"/>
                <w:sz w:val="18"/>
                <w:szCs w:val="18"/>
              </w:rPr>
              <w:t>40.46 (56.45)</w:t>
            </w:r>
          </w:p>
        </w:tc>
        <w:tc>
          <w:tcPr>
            <w:tcW w:w="1418" w:type="dxa"/>
            <w:tcBorders>
              <w:top w:val="nil"/>
              <w:left w:val="nil"/>
              <w:bottom w:val="nil"/>
              <w:right w:val="nil"/>
            </w:tcBorders>
            <w:shd w:val="clear" w:color="auto" w:fill="auto"/>
            <w:noWrap/>
            <w:vAlign w:val="center"/>
            <w:hideMark/>
          </w:tcPr>
          <w:p w14:paraId="32549ACF" w14:textId="77777777" w:rsidR="00865307" w:rsidRPr="00865307" w:rsidRDefault="00865307" w:rsidP="008253C4">
            <w:pPr>
              <w:jc w:val="center"/>
              <w:rPr>
                <w:color w:val="000000"/>
                <w:sz w:val="18"/>
                <w:szCs w:val="18"/>
              </w:rPr>
            </w:pPr>
            <w:r w:rsidRPr="00865307">
              <w:rPr>
                <w:color w:val="000000"/>
                <w:sz w:val="18"/>
                <w:szCs w:val="18"/>
              </w:rPr>
              <w:t>33.05 (37.83)</w:t>
            </w:r>
          </w:p>
        </w:tc>
        <w:tc>
          <w:tcPr>
            <w:tcW w:w="708" w:type="dxa"/>
            <w:tcBorders>
              <w:top w:val="nil"/>
              <w:left w:val="nil"/>
              <w:bottom w:val="nil"/>
              <w:right w:val="nil"/>
            </w:tcBorders>
            <w:shd w:val="clear" w:color="auto" w:fill="auto"/>
            <w:noWrap/>
            <w:vAlign w:val="center"/>
            <w:hideMark/>
          </w:tcPr>
          <w:p w14:paraId="72C3C353" w14:textId="77777777" w:rsidR="00865307" w:rsidRPr="00865307" w:rsidRDefault="00865307" w:rsidP="008253C4">
            <w:pPr>
              <w:jc w:val="center"/>
              <w:rPr>
                <w:color w:val="000000"/>
                <w:sz w:val="18"/>
                <w:szCs w:val="18"/>
              </w:rPr>
            </w:pPr>
            <w:r w:rsidRPr="00865307">
              <w:rPr>
                <w:color w:val="000000"/>
                <w:sz w:val="18"/>
                <w:szCs w:val="18"/>
              </w:rPr>
              <w:t>.169</w:t>
            </w:r>
          </w:p>
        </w:tc>
        <w:tc>
          <w:tcPr>
            <w:tcW w:w="709" w:type="dxa"/>
            <w:tcBorders>
              <w:top w:val="nil"/>
              <w:left w:val="nil"/>
              <w:bottom w:val="nil"/>
              <w:right w:val="nil"/>
            </w:tcBorders>
            <w:shd w:val="clear" w:color="auto" w:fill="auto"/>
            <w:noWrap/>
            <w:vAlign w:val="center"/>
            <w:hideMark/>
          </w:tcPr>
          <w:p w14:paraId="5B2935F8" w14:textId="77777777" w:rsidR="00865307" w:rsidRPr="00865307" w:rsidRDefault="00865307" w:rsidP="008253C4">
            <w:pPr>
              <w:jc w:val="center"/>
              <w:rPr>
                <w:color w:val="000000"/>
                <w:sz w:val="18"/>
                <w:szCs w:val="18"/>
              </w:rPr>
            </w:pPr>
            <w:r w:rsidRPr="00865307">
              <w:rPr>
                <w:color w:val="000000"/>
                <w:sz w:val="18"/>
                <w:szCs w:val="18"/>
              </w:rPr>
              <w:t>0.03</w:t>
            </w:r>
          </w:p>
        </w:tc>
      </w:tr>
      <w:tr w:rsidR="007723BD" w:rsidRPr="00865307" w14:paraId="510588E6" w14:textId="77777777" w:rsidTr="0089320A">
        <w:trPr>
          <w:trHeight w:val="320"/>
        </w:trPr>
        <w:tc>
          <w:tcPr>
            <w:tcW w:w="283" w:type="dxa"/>
            <w:tcBorders>
              <w:top w:val="nil"/>
              <w:left w:val="nil"/>
              <w:bottom w:val="nil"/>
              <w:right w:val="nil"/>
            </w:tcBorders>
            <w:shd w:val="clear" w:color="auto" w:fill="auto"/>
            <w:noWrap/>
            <w:vAlign w:val="center"/>
            <w:hideMark/>
          </w:tcPr>
          <w:p w14:paraId="7703AB8F" w14:textId="77777777" w:rsidR="007723BD" w:rsidRPr="00865307" w:rsidRDefault="007723BD" w:rsidP="008253C4">
            <w:pPr>
              <w:jc w:val="center"/>
              <w:rPr>
                <w:color w:val="000000"/>
                <w:sz w:val="18"/>
                <w:szCs w:val="18"/>
              </w:rPr>
            </w:pPr>
          </w:p>
        </w:tc>
        <w:tc>
          <w:tcPr>
            <w:tcW w:w="4254" w:type="dxa"/>
            <w:gridSpan w:val="3"/>
            <w:tcBorders>
              <w:top w:val="nil"/>
              <w:left w:val="nil"/>
              <w:bottom w:val="nil"/>
              <w:right w:val="nil"/>
            </w:tcBorders>
            <w:shd w:val="clear" w:color="auto" w:fill="auto"/>
            <w:noWrap/>
            <w:vAlign w:val="center"/>
            <w:hideMark/>
          </w:tcPr>
          <w:p w14:paraId="4B264FA9" w14:textId="79142E3F" w:rsidR="007723BD" w:rsidRPr="00865307" w:rsidRDefault="007723BD" w:rsidP="008253C4">
            <w:pPr>
              <w:rPr>
                <w:color w:val="000000"/>
                <w:sz w:val="18"/>
                <w:szCs w:val="18"/>
              </w:rPr>
            </w:pPr>
            <w:r w:rsidRPr="00865307">
              <w:rPr>
                <w:color w:val="000000"/>
                <w:sz w:val="18"/>
                <w:szCs w:val="18"/>
              </w:rPr>
              <w:t>Presence of cerebrovascular disease</w:t>
            </w:r>
          </w:p>
        </w:tc>
        <w:tc>
          <w:tcPr>
            <w:tcW w:w="1417" w:type="dxa"/>
            <w:tcBorders>
              <w:top w:val="nil"/>
              <w:left w:val="nil"/>
              <w:bottom w:val="nil"/>
              <w:right w:val="nil"/>
            </w:tcBorders>
            <w:shd w:val="clear" w:color="auto" w:fill="auto"/>
            <w:noWrap/>
            <w:vAlign w:val="center"/>
            <w:hideMark/>
          </w:tcPr>
          <w:p w14:paraId="17CAED33" w14:textId="77777777" w:rsidR="007723BD" w:rsidRPr="00865307" w:rsidRDefault="007723BD"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5EFA7918" w14:textId="77777777" w:rsidR="007723BD" w:rsidRPr="00865307" w:rsidRDefault="007723BD"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4A047711" w14:textId="77777777" w:rsidR="007723BD" w:rsidRPr="00865307" w:rsidRDefault="007723BD"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2858AFDA" w14:textId="77777777" w:rsidR="007723BD" w:rsidRPr="00865307" w:rsidRDefault="007723BD"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6D5F0E84" w14:textId="77777777" w:rsidR="007723BD" w:rsidRPr="00865307" w:rsidRDefault="007723BD" w:rsidP="008253C4">
            <w:pPr>
              <w:jc w:val="center"/>
              <w:rPr>
                <w:color w:val="000000"/>
                <w:sz w:val="18"/>
                <w:szCs w:val="18"/>
              </w:rPr>
            </w:pPr>
            <w:r w:rsidRPr="00865307">
              <w:rPr>
                <w:color w:val="000000"/>
                <w:sz w:val="18"/>
                <w:szCs w:val="18"/>
              </w:rPr>
              <w:t>.394</w:t>
            </w:r>
          </w:p>
        </w:tc>
        <w:tc>
          <w:tcPr>
            <w:tcW w:w="709" w:type="dxa"/>
            <w:tcBorders>
              <w:top w:val="nil"/>
              <w:left w:val="nil"/>
              <w:bottom w:val="nil"/>
              <w:right w:val="nil"/>
            </w:tcBorders>
            <w:shd w:val="clear" w:color="auto" w:fill="auto"/>
            <w:noWrap/>
            <w:vAlign w:val="center"/>
            <w:hideMark/>
          </w:tcPr>
          <w:p w14:paraId="72BCD35D" w14:textId="77777777" w:rsidR="007723BD" w:rsidRPr="00865307" w:rsidRDefault="007723BD" w:rsidP="008253C4">
            <w:pPr>
              <w:jc w:val="center"/>
              <w:rPr>
                <w:color w:val="000000"/>
                <w:sz w:val="18"/>
                <w:szCs w:val="18"/>
              </w:rPr>
            </w:pPr>
            <w:r w:rsidRPr="00865307">
              <w:rPr>
                <w:color w:val="000000"/>
                <w:sz w:val="18"/>
                <w:szCs w:val="18"/>
              </w:rPr>
              <w:t>0.14</w:t>
            </w:r>
          </w:p>
        </w:tc>
      </w:tr>
      <w:tr w:rsidR="00865307" w:rsidRPr="00865307" w14:paraId="04753E48" w14:textId="77777777" w:rsidTr="008253C4">
        <w:trPr>
          <w:trHeight w:val="320"/>
        </w:trPr>
        <w:tc>
          <w:tcPr>
            <w:tcW w:w="283" w:type="dxa"/>
            <w:tcBorders>
              <w:top w:val="nil"/>
              <w:left w:val="nil"/>
              <w:bottom w:val="nil"/>
              <w:right w:val="nil"/>
            </w:tcBorders>
            <w:shd w:val="clear" w:color="auto" w:fill="auto"/>
            <w:noWrap/>
            <w:vAlign w:val="center"/>
            <w:hideMark/>
          </w:tcPr>
          <w:p w14:paraId="5C61D1F8"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2FC0FEF2"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1A015A51" w14:textId="77777777" w:rsidR="00865307" w:rsidRPr="00865307" w:rsidRDefault="00865307" w:rsidP="008253C4">
            <w:pPr>
              <w:rPr>
                <w:color w:val="000000"/>
                <w:sz w:val="18"/>
                <w:szCs w:val="18"/>
              </w:rPr>
            </w:pPr>
            <w:r w:rsidRPr="00865307">
              <w:rPr>
                <w:color w:val="000000"/>
                <w:sz w:val="18"/>
                <w:szCs w:val="18"/>
              </w:rPr>
              <w:t>No</w:t>
            </w:r>
          </w:p>
        </w:tc>
        <w:tc>
          <w:tcPr>
            <w:tcW w:w="1701" w:type="dxa"/>
            <w:tcBorders>
              <w:top w:val="nil"/>
              <w:left w:val="nil"/>
              <w:bottom w:val="nil"/>
              <w:right w:val="nil"/>
            </w:tcBorders>
            <w:shd w:val="clear" w:color="auto" w:fill="auto"/>
            <w:noWrap/>
            <w:vAlign w:val="center"/>
            <w:hideMark/>
          </w:tcPr>
          <w:p w14:paraId="40F28515" w14:textId="77777777" w:rsidR="00865307" w:rsidRPr="00865307" w:rsidRDefault="00865307" w:rsidP="008253C4">
            <w:pPr>
              <w:jc w:val="center"/>
              <w:rPr>
                <w:color w:val="000000"/>
                <w:sz w:val="18"/>
                <w:szCs w:val="18"/>
              </w:rPr>
            </w:pPr>
            <w:r w:rsidRPr="00865307">
              <w:rPr>
                <w:color w:val="000000"/>
                <w:sz w:val="18"/>
                <w:szCs w:val="18"/>
              </w:rPr>
              <w:t>136 (85.5%)</w:t>
            </w:r>
          </w:p>
        </w:tc>
        <w:tc>
          <w:tcPr>
            <w:tcW w:w="1417" w:type="dxa"/>
            <w:tcBorders>
              <w:top w:val="nil"/>
              <w:left w:val="nil"/>
              <w:bottom w:val="nil"/>
              <w:right w:val="nil"/>
            </w:tcBorders>
            <w:shd w:val="clear" w:color="auto" w:fill="auto"/>
            <w:noWrap/>
            <w:vAlign w:val="center"/>
            <w:hideMark/>
          </w:tcPr>
          <w:p w14:paraId="32E83E30" w14:textId="77777777" w:rsidR="00865307" w:rsidRPr="00865307" w:rsidRDefault="00865307" w:rsidP="008253C4">
            <w:pPr>
              <w:jc w:val="center"/>
              <w:rPr>
                <w:color w:val="000000"/>
                <w:sz w:val="18"/>
                <w:szCs w:val="18"/>
              </w:rPr>
            </w:pPr>
            <w:r w:rsidRPr="00865307">
              <w:rPr>
                <w:color w:val="000000"/>
                <w:sz w:val="18"/>
                <w:szCs w:val="18"/>
              </w:rPr>
              <w:t>82 (85.4%)</w:t>
            </w:r>
          </w:p>
        </w:tc>
        <w:tc>
          <w:tcPr>
            <w:tcW w:w="1418" w:type="dxa"/>
            <w:tcBorders>
              <w:top w:val="nil"/>
              <w:left w:val="nil"/>
              <w:bottom w:val="nil"/>
              <w:right w:val="nil"/>
            </w:tcBorders>
            <w:shd w:val="clear" w:color="auto" w:fill="auto"/>
            <w:noWrap/>
            <w:vAlign w:val="center"/>
            <w:hideMark/>
          </w:tcPr>
          <w:p w14:paraId="12A67CD3" w14:textId="77777777" w:rsidR="00865307" w:rsidRPr="00865307" w:rsidRDefault="00865307" w:rsidP="008253C4">
            <w:pPr>
              <w:jc w:val="center"/>
              <w:rPr>
                <w:color w:val="000000"/>
                <w:sz w:val="18"/>
                <w:szCs w:val="18"/>
              </w:rPr>
            </w:pPr>
            <w:r w:rsidRPr="00865307">
              <w:rPr>
                <w:color w:val="000000"/>
                <w:sz w:val="18"/>
                <w:szCs w:val="18"/>
              </w:rPr>
              <w:t>10 (71.4%)</w:t>
            </w:r>
          </w:p>
        </w:tc>
        <w:tc>
          <w:tcPr>
            <w:tcW w:w="1417" w:type="dxa"/>
            <w:tcBorders>
              <w:top w:val="nil"/>
              <w:left w:val="nil"/>
              <w:bottom w:val="nil"/>
              <w:right w:val="nil"/>
            </w:tcBorders>
            <w:shd w:val="clear" w:color="auto" w:fill="auto"/>
            <w:noWrap/>
            <w:vAlign w:val="center"/>
            <w:hideMark/>
          </w:tcPr>
          <w:p w14:paraId="180F65C6" w14:textId="77777777" w:rsidR="00865307" w:rsidRPr="00865307" w:rsidRDefault="00865307" w:rsidP="008253C4">
            <w:pPr>
              <w:jc w:val="center"/>
              <w:rPr>
                <w:color w:val="000000"/>
                <w:sz w:val="18"/>
                <w:szCs w:val="18"/>
              </w:rPr>
            </w:pPr>
            <w:r w:rsidRPr="00865307">
              <w:rPr>
                <w:color w:val="000000"/>
                <w:sz w:val="18"/>
                <w:szCs w:val="18"/>
              </w:rPr>
              <w:t>25 (89.3%)</w:t>
            </w:r>
          </w:p>
        </w:tc>
        <w:tc>
          <w:tcPr>
            <w:tcW w:w="1418" w:type="dxa"/>
            <w:tcBorders>
              <w:top w:val="nil"/>
              <w:left w:val="nil"/>
              <w:bottom w:val="nil"/>
              <w:right w:val="nil"/>
            </w:tcBorders>
            <w:shd w:val="clear" w:color="auto" w:fill="auto"/>
            <w:noWrap/>
            <w:vAlign w:val="center"/>
            <w:hideMark/>
          </w:tcPr>
          <w:p w14:paraId="21C01C79" w14:textId="77777777" w:rsidR="00865307" w:rsidRPr="00865307" w:rsidRDefault="00865307" w:rsidP="008253C4">
            <w:pPr>
              <w:jc w:val="center"/>
              <w:rPr>
                <w:color w:val="000000"/>
                <w:sz w:val="18"/>
                <w:szCs w:val="18"/>
              </w:rPr>
            </w:pPr>
            <w:r w:rsidRPr="00865307">
              <w:rPr>
                <w:color w:val="000000"/>
                <w:sz w:val="18"/>
                <w:szCs w:val="18"/>
              </w:rPr>
              <w:t>19 (90.5%)</w:t>
            </w:r>
          </w:p>
        </w:tc>
        <w:tc>
          <w:tcPr>
            <w:tcW w:w="708" w:type="dxa"/>
            <w:tcBorders>
              <w:top w:val="nil"/>
              <w:left w:val="nil"/>
              <w:bottom w:val="nil"/>
              <w:right w:val="nil"/>
            </w:tcBorders>
            <w:shd w:val="clear" w:color="auto" w:fill="auto"/>
            <w:noWrap/>
            <w:vAlign w:val="center"/>
            <w:hideMark/>
          </w:tcPr>
          <w:p w14:paraId="621102A1"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419ECEED" w14:textId="77777777" w:rsidR="00865307" w:rsidRPr="00865307" w:rsidRDefault="00865307" w:rsidP="008253C4">
            <w:pPr>
              <w:jc w:val="center"/>
              <w:rPr>
                <w:sz w:val="18"/>
                <w:szCs w:val="18"/>
              </w:rPr>
            </w:pPr>
          </w:p>
        </w:tc>
      </w:tr>
      <w:tr w:rsidR="00865307" w:rsidRPr="00865307" w14:paraId="50577AD2" w14:textId="77777777" w:rsidTr="008253C4">
        <w:trPr>
          <w:trHeight w:val="320"/>
        </w:trPr>
        <w:tc>
          <w:tcPr>
            <w:tcW w:w="283" w:type="dxa"/>
            <w:tcBorders>
              <w:top w:val="nil"/>
              <w:left w:val="nil"/>
              <w:bottom w:val="nil"/>
              <w:right w:val="nil"/>
            </w:tcBorders>
            <w:shd w:val="clear" w:color="auto" w:fill="auto"/>
            <w:noWrap/>
            <w:vAlign w:val="center"/>
            <w:hideMark/>
          </w:tcPr>
          <w:p w14:paraId="20E2FE04"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3F379939"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52FDFB45" w14:textId="77777777" w:rsidR="00865307" w:rsidRPr="00865307" w:rsidRDefault="00865307" w:rsidP="008253C4">
            <w:pPr>
              <w:rPr>
                <w:color w:val="000000"/>
                <w:sz w:val="18"/>
                <w:szCs w:val="18"/>
              </w:rPr>
            </w:pPr>
            <w:r w:rsidRPr="00865307">
              <w:rPr>
                <w:color w:val="000000"/>
                <w:sz w:val="18"/>
                <w:szCs w:val="18"/>
              </w:rPr>
              <w:t>Yes</w:t>
            </w:r>
          </w:p>
        </w:tc>
        <w:tc>
          <w:tcPr>
            <w:tcW w:w="1701" w:type="dxa"/>
            <w:tcBorders>
              <w:top w:val="nil"/>
              <w:left w:val="nil"/>
              <w:bottom w:val="nil"/>
              <w:right w:val="nil"/>
            </w:tcBorders>
            <w:shd w:val="clear" w:color="auto" w:fill="auto"/>
            <w:noWrap/>
            <w:vAlign w:val="center"/>
            <w:hideMark/>
          </w:tcPr>
          <w:p w14:paraId="749D5E8E" w14:textId="77777777" w:rsidR="00865307" w:rsidRPr="00865307" w:rsidRDefault="00865307" w:rsidP="008253C4">
            <w:pPr>
              <w:jc w:val="center"/>
              <w:rPr>
                <w:color w:val="000000"/>
                <w:sz w:val="18"/>
                <w:szCs w:val="18"/>
              </w:rPr>
            </w:pPr>
            <w:r w:rsidRPr="00865307">
              <w:rPr>
                <w:color w:val="000000"/>
                <w:sz w:val="18"/>
                <w:szCs w:val="18"/>
              </w:rPr>
              <w:t>23 (14.5%)</w:t>
            </w:r>
          </w:p>
        </w:tc>
        <w:tc>
          <w:tcPr>
            <w:tcW w:w="1417" w:type="dxa"/>
            <w:tcBorders>
              <w:top w:val="nil"/>
              <w:left w:val="nil"/>
              <w:bottom w:val="nil"/>
              <w:right w:val="nil"/>
            </w:tcBorders>
            <w:shd w:val="clear" w:color="auto" w:fill="auto"/>
            <w:noWrap/>
            <w:vAlign w:val="center"/>
            <w:hideMark/>
          </w:tcPr>
          <w:p w14:paraId="54415B48" w14:textId="77777777" w:rsidR="00865307" w:rsidRPr="00865307" w:rsidRDefault="00865307" w:rsidP="008253C4">
            <w:pPr>
              <w:jc w:val="center"/>
              <w:rPr>
                <w:color w:val="000000"/>
                <w:sz w:val="18"/>
                <w:szCs w:val="18"/>
              </w:rPr>
            </w:pPr>
            <w:r w:rsidRPr="00865307">
              <w:rPr>
                <w:color w:val="000000"/>
                <w:sz w:val="18"/>
                <w:szCs w:val="18"/>
              </w:rPr>
              <w:t>14 (14.6%)</w:t>
            </w:r>
          </w:p>
        </w:tc>
        <w:tc>
          <w:tcPr>
            <w:tcW w:w="1418" w:type="dxa"/>
            <w:tcBorders>
              <w:top w:val="nil"/>
              <w:left w:val="nil"/>
              <w:bottom w:val="nil"/>
              <w:right w:val="nil"/>
            </w:tcBorders>
            <w:shd w:val="clear" w:color="auto" w:fill="auto"/>
            <w:noWrap/>
            <w:vAlign w:val="center"/>
            <w:hideMark/>
          </w:tcPr>
          <w:p w14:paraId="6A57AFFF" w14:textId="77777777" w:rsidR="00865307" w:rsidRPr="00865307" w:rsidRDefault="00865307" w:rsidP="008253C4">
            <w:pPr>
              <w:jc w:val="center"/>
              <w:rPr>
                <w:color w:val="000000"/>
                <w:sz w:val="18"/>
                <w:szCs w:val="18"/>
              </w:rPr>
            </w:pPr>
            <w:r w:rsidRPr="00865307">
              <w:rPr>
                <w:color w:val="000000"/>
                <w:sz w:val="18"/>
                <w:szCs w:val="18"/>
              </w:rPr>
              <w:t>4 (28.6%)</w:t>
            </w:r>
          </w:p>
        </w:tc>
        <w:tc>
          <w:tcPr>
            <w:tcW w:w="1417" w:type="dxa"/>
            <w:tcBorders>
              <w:top w:val="nil"/>
              <w:left w:val="nil"/>
              <w:bottom w:val="nil"/>
              <w:right w:val="nil"/>
            </w:tcBorders>
            <w:shd w:val="clear" w:color="auto" w:fill="auto"/>
            <w:noWrap/>
            <w:vAlign w:val="center"/>
            <w:hideMark/>
          </w:tcPr>
          <w:p w14:paraId="4107B77B" w14:textId="77777777" w:rsidR="00865307" w:rsidRPr="00865307" w:rsidRDefault="00865307" w:rsidP="008253C4">
            <w:pPr>
              <w:jc w:val="center"/>
              <w:rPr>
                <w:color w:val="000000"/>
                <w:sz w:val="18"/>
                <w:szCs w:val="18"/>
              </w:rPr>
            </w:pPr>
            <w:r w:rsidRPr="00865307">
              <w:rPr>
                <w:color w:val="000000"/>
                <w:sz w:val="18"/>
                <w:szCs w:val="18"/>
              </w:rPr>
              <w:t>3 (10.7%)</w:t>
            </w:r>
          </w:p>
        </w:tc>
        <w:tc>
          <w:tcPr>
            <w:tcW w:w="1418" w:type="dxa"/>
            <w:tcBorders>
              <w:top w:val="nil"/>
              <w:left w:val="nil"/>
              <w:bottom w:val="nil"/>
              <w:right w:val="nil"/>
            </w:tcBorders>
            <w:shd w:val="clear" w:color="auto" w:fill="auto"/>
            <w:noWrap/>
            <w:vAlign w:val="center"/>
            <w:hideMark/>
          </w:tcPr>
          <w:p w14:paraId="6016CE76" w14:textId="77777777" w:rsidR="00865307" w:rsidRPr="00865307" w:rsidRDefault="00865307" w:rsidP="008253C4">
            <w:pPr>
              <w:jc w:val="center"/>
              <w:rPr>
                <w:color w:val="000000"/>
                <w:sz w:val="18"/>
                <w:szCs w:val="18"/>
              </w:rPr>
            </w:pPr>
            <w:r w:rsidRPr="00865307">
              <w:rPr>
                <w:color w:val="000000"/>
                <w:sz w:val="18"/>
                <w:szCs w:val="18"/>
              </w:rPr>
              <w:t>2 (9.5%)</w:t>
            </w:r>
          </w:p>
        </w:tc>
        <w:tc>
          <w:tcPr>
            <w:tcW w:w="708" w:type="dxa"/>
            <w:tcBorders>
              <w:top w:val="nil"/>
              <w:left w:val="nil"/>
              <w:bottom w:val="nil"/>
              <w:right w:val="nil"/>
            </w:tcBorders>
            <w:shd w:val="clear" w:color="auto" w:fill="auto"/>
            <w:noWrap/>
            <w:vAlign w:val="center"/>
            <w:hideMark/>
          </w:tcPr>
          <w:p w14:paraId="65FB6A78"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7930631E" w14:textId="77777777" w:rsidR="00865307" w:rsidRPr="00865307" w:rsidRDefault="00865307" w:rsidP="008253C4">
            <w:pPr>
              <w:jc w:val="center"/>
              <w:rPr>
                <w:sz w:val="18"/>
                <w:szCs w:val="18"/>
              </w:rPr>
            </w:pPr>
          </w:p>
        </w:tc>
      </w:tr>
      <w:tr w:rsidR="00865307" w:rsidRPr="00865307" w14:paraId="7BDA6222" w14:textId="77777777" w:rsidTr="008253C4">
        <w:trPr>
          <w:trHeight w:val="320"/>
        </w:trPr>
        <w:tc>
          <w:tcPr>
            <w:tcW w:w="283" w:type="dxa"/>
            <w:tcBorders>
              <w:top w:val="nil"/>
              <w:left w:val="nil"/>
              <w:bottom w:val="nil"/>
              <w:right w:val="nil"/>
            </w:tcBorders>
            <w:shd w:val="clear" w:color="auto" w:fill="auto"/>
            <w:noWrap/>
            <w:vAlign w:val="center"/>
            <w:hideMark/>
          </w:tcPr>
          <w:p w14:paraId="470FAD1F"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3F714824" w14:textId="77777777" w:rsidR="00865307" w:rsidRPr="00865307" w:rsidRDefault="00865307" w:rsidP="008253C4">
            <w:pPr>
              <w:rPr>
                <w:color w:val="000000"/>
                <w:sz w:val="18"/>
                <w:szCs w:val="18"/>
              </w:rPr>
            </w:pPr>
            <w:r w:rsidRPr="00865307">
              <w:rPr>
                <w:color w:val="000000"/>
                <w:sz w:val="18"/>
                <w:szCs w:val="18"/>
              </w:rPr>
              <w:t>Presence of hypertension</w:t>
            </w:r>
          </w:p>
        </w:tc>
        <w:tc>
          <w:tcPr>
            <w:tcW w:w="1701" w:type="dxa"/>
            <w:tcBorders>
              <w:top w:val="nil"/>
              <w:left w:val="nil"/>
              <w:bottom w:val="nil"/>
              <w:right w:val="nil"/>
            </w:tcBorders>
            <w:shd w:val="clear" w:color="auto" w:fill="auto"/>
            <w:noWrap/>
            <w:vAlign w:val="center"/>
            <w:hideMark/>
          </w:tcPr>
          <w:p w14:paraId="77E96AA9"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50ADD093"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372788EB"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02BC8055"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1493F202"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0AB7E1E4" w14:textId="77777777" w:rsidR="00865307" w:rsidRPr="00865307" w:rsidRDefault="00865307" w:rsidP="008253C4">
            <w:pPr>
              <w:jc w:val="center"/>
              <w:rPr>
                <w:color w:val="000000"/>
                <w:sz w:val="18"/>
                <w:szCs w:val="18"/>
              </w:rPr>
            </w:pPr>
            <w:r w:rsidRPr="00865307">
              <w:rPr>
                <w:color w:val="000000"/>
                <w:sz w:val="18"/>
                <w:szCs w:val="18"/>
              </w:rPr>
              <w:t>.291</w:t>
            </w:r>
          </w:p>
        </w:tc>
        <w:tc>
          <w:tcPr>
            <w:tcW w:w="709" w:type="dxa"/>
            <w:tcBorders>
              <w:top w:val="nil"/>
              <w:left w:val="nil"/>
              <w:bottom w:val="nil"/>
              <w:right w:val="nil"/>
            </w:tcBorders>
            <w:shd w:val="clear" w:color="auto" w:fill="auto"/>
            <w:noWrap/>
            <w:vAlign w:val="center"/>
            <w:hideMark/>
          </w:tcPr>
          <w:p w14:paraId="4B61A3EC" w14:textId="77777777" w:rsidR="00865307" w:rsidRPr="00865307" w:rsidRDefault="00865307" w:rsidP="008253C4">
            <w:pPr>
              <w:jc w:val="center"/>
              <w:rPr>
                <w:color w:val="000000"/>
                <w:sz w:val="18"/>
                <w:szCs w:val="18"/>
              </w:rPr>
            </w:pPr>
            <w:r w:rsidRPr="00865307">
              <w:rPr>
                <w:color w:val="000000"/>
                <w:sz w:val="18"/>
                <w:szCs w:val="18"/>
              </w:rPr>
              <w:t>0.15</w:t>
            </w:r>
          </w:p>
        </w:tc>
      </w:tr>
      <w:tr w:rsidR="00865307" w:rsidRPr="00865307" w14:paraId="3883244D" w14:textId="77777777" w:rsidTr="008253C4">
        <w:trPr>
          <w:trHeight w:val="320"/>
        </w:trPr>
        <w:tc>
          <w:tcPr>
            <w:tcW w:w="283" w:type="dxa"/>
            <w:tcBorders>
              <w:top w:val="nil"/>
              <w:left w:val="nil"/>
              <w:bottom w:val="nil"/>
              <w:right w:val="nil"/>
            </w:tcBorders>
            <w:shd w:val="clear" w:color="auto" w:fill="auto"/>
            <w:noWrap/>
            <w:vAlign w:val="center"/>
            <w:hideMark/>
          </w:tcPr>
          <w:p w14:paraId="03F3A48C"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34FC3B71"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4B813AD0" w14:textId="77777777" w:rsidR="00865307" w:rsidRPr="00865307" w:rsidRDefault="00865307" w:rsidP="008253C4">
            <w:pPr>
              <w:rPr>
                <w:color w:val="000000"/>
                <w:sz w:val="18"/>
                <w:szCs w:val="18"/>
              </w:rPr>
            </w:pPr>
            <w:r w:rsidRPr="00865307">
              <w:rPr>
                <w:color w:val="000000"/>
                <w:sz w:val="18"/>
                <w:szCs w:val="18"/>
              </w:rPr>
              <w:t>No</w:t>
            </w:r>
          </w:p>
        </w:tc>
        <w:tc>
          <w:tcPr>
            <w:tcW w:w="1701" w:type="dxa"/>
            <w:tcBorders>
              <w:top w:val="nil"/>
              <w:left w:val="nil"/>
              <w:bottom w:val="nil"/>
              <w:right w:val="nil"/>
            </w:tcBorders>
            <w:shd w:val="clear" w:color="auto" w:fill="auto"/>
            <w:noWrap/>
            <w:vAlign w:val="center"/>
            <w:hideMark/>
          </w:tcPr>
          <w:p w14:paraId="37BA1275" w14:textId="77777777" w:rsidR="00865307" w:rsidRPr="00865307" w:rsidRDefault="00865307" w:rsidP="008253C4">
            <w:pPr>
              <w:jc w:val="center"/>
              <w:rPr>
                <w:color w:val="000000"/>
                <w:sz w:val="18"/>
                <w:szCs w:val="18"/>
              </w:rPr>
            </w:pPr>
            <w:r w:rsidRPr="00865307">
              <w:rPr>
                <w:color w:val="000000"/>
                <w:sz w:val="18"/>
                <w:szCs w:val="18"/>
              </w:rPr>
              <w:t>13 (8.2%)</w:t>
            </w:r>
          </w:p>
        </w:tc>
        <w:tc>
          <w:tcPr>
            <w:tcW w:w="1417" w:type="dxa"/>
            <w:tcBorders>
              <w:top w:val="nil"/>
              <w:left w:val="nil"/>
              <w:bottom w:val="nil"/>
              <w:right w:val="nil"/>
            </w:tcBorders>
            <w:shd w:val="clear" w:color="auto" w:fill="auto"/>
            <w:noWrap/>
            <w:vAlign w:val="center"/>
            <w:hideMark/>
          </w:tcPr>
          <w:p w14:paraId="7862E49F" w14:textId="77777777" w:rsidR="00865307" w:rsidRPr="00865307" w:rsidRDefault="00865307" w:rsidP="008253C4">
            <w:pPr>
              <w:jc w:val="center"/>
              <w:rPr>
                <w:color w:val="000000"/>
                <w:sz w:val="18"/>
                <w:szCs w:val="18"/>
              </w:rPr>
            </w:pPr>
            <w:r w:rsidRPr="00865307">
              <w:rPr>
                <w:color w:val="000000"/>
                <w:sz w:val="18"/>
                <w:szCs w:val="18"/>
              </w:rPr>
              <w:t>11 (11.5%)</w:t>
            </w:r>
          </w:p>
        </w:tc>
        <w:tc>
          <w:tcPr>
            <w:tcW w:w="1418" w:type="dxa"/>
            <w:tcBorders>
              <w:top w:val="nil"/>
              <w:left w:val="nil"/>
              <w:bottom w:val="nil"/>
              <w:right w:val="nil"/>
            </w:tcBorders>
            <w:shd w:val="clear" w:color="auto" w:fill="auto"/>
            <w:noWrap/>
            <w:vAlign w:val="center"/>
            <w:hideMark/>
          </w:tcPr>
          <w:p w14:paraId="04E9AAF7" w14:textId="77777777" w:rsidR="00865307" w:rsidRPr="00865307" w:rsidRDefault="00865307" w:rsidP="008253C4">
            <w:pPr>
              <w:jc w:val="center"/>
              <w:rPr>
                <w:color w:val="000000"/>
                <w:sz w:val="18"/>
                <w:szCs w:val="18"/>
              </w:rPr>
            </w:pPr>
            <w:r w:rsidRPr="00865307">
              <w:rPr>
                <w:color w:val="000000"/>
                <w:sz w:val="18"/>
                <w:szCs w:val="18"/>
              </w:rPr>
              <w:t>0 (0.0%)</w:t>
            </w:r>
          </w:p>
        </w:tc>
        <w:tc>
          <w:tcPr>
            <w:tcW w:w="1417" w:type="dxa"/>
            <w:tcBorders>
              <w:top w:val="nil"/>
              <w:left w:val="nil"/>
              <w:bottom w:val="nil"/>
              <w:right w:val="nil"/>
            </w:tcBorders>
            <w:shd w:val="clear" w:color="auto" w:fill="auto"/>
            <w:noWrap/>
            <w:vAlign w:val="center"/>
            <w:hideMark/>
          </w:tcPr>
          <w:p w14:paraId="13507B4F" w14:textId="77777777" w:rsidR="00865307" w:rsidRPr="00865307" w:rsidRDefault="00865307" w:rsidP="008253C4">
            <w:pPr>
              <w:jc w:val="center"/>
              <w:rPr>
                <w:color w:val="000000"/>
                <w:sz w:val="18"/>
                <w:szCs w:val="18"/>
              </w:rPr>
            </w:pPr>
            <w:r w:rsidRPr="00865307">
              <w:rPr>
                <w:color w:val="000000"/>
                <w:sz w:val="18"/>
                <w:szCs w:val="18"/>
              </w:rPr>
              <w:t>1 (3.6%)</w:t>
            </w:r>
          </w:p>
        </w:tc>
        <w:tc>
          <w:tcPr>
            <w:tcW w:w="1418" w:type="dxa"/>
            <w:tcBorders>
              <w:top w:val="nil"/>
              <w:left w:val="nil"/>
              <w:bottom w:val="nil"/>
              <w:right w:val="nil"/>
            </w:tcBorders>
            <w:shd w:val="clear" w:color="auto" w:fill="auto"/>
            <w:noWrap/>
            <w:vAlign w:val="center"/>
            <w:hideMark/>
          </w:tcPr>
          <w:p w14:paraId="1197344F" w14:textId="77777777" w:rsidR="00865307" w:rsidRPr="00865307" w:rsidRDefault="00865307" w:rsidP="008253C4">
            <w:pPr>
              <w:jc w:val="center"/>
              <w:rPr>
                <w:color w:val="000000"/>
                <w:sz w:val="18"/>
                <w:szCs w:val="18"/>
              </w:rPr>
            </w:pPr>
            <w:r w:rsidRPr="00865307">
              <w:rPr>
                <w:color w:val="000000"/>
                <w:sz w:val="18"/>
                <w:szCs w:val="18"/>
              </w:rPr>
              <w:t>1 (4.8%)</w:t>
            </w:r>
          </w:p>
        </w:tc>
        <w:tc>
          <w:tcPr>
            <w:tcW w:w="708" w:type="dxa"/>
            <w:tcBorders>
              <w:top w:val="nil"/>
              <w:left w:val="nil"/>
              <w:bottom w:val="nil"/>
              <w:right w:val="nil"/>
            </w:tcBorders>
            <w:shd w:val="clear" w:color="auto" w:fill="auto"/>
            <w:noWrap/>
            <w:vAlign w:val="center"/>
            <w:hideMark/>
          </w:tcPr>
          <w:p w14:paraId="70BE6D6C"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5478C750" w14:textId="77777777" w:rsidR="00865307" w:rsidRPr="00865307" w:rsidRDefault="00865307" w:rsidP="008253C4">
            <w:pPr>
              <w:jc w:val="center"/>
              <w:rPr>
                <w:sz w:val="18"/>
                <w:szCs w:val="18"/>
              </w:rPr>
            </w:pPr>
          </w:p>
        </w:tc>
      </w:tr>
      <w:tr w:rsidR="00865307" w:rsidRPr="00865307" w14:paraId="6C2A58B4" w14:textId="77777777" w:rsidTr="008253C4">
        <w:trPr>
          <w:trHeight w:val="320"/>
        </w:trPr>
        <w:tc>
          <w:tcPr>
            <w:tcW w:w="283" w:type="dxa"/>
            <w:tcBorders>
              <w:top w:val="nil"/>
              <w:left w:val="nil"/>
              <w:bottom w:val="nil"/>
              <w:right w:val="nil"/>
            </w:tcBorders>
            <w:shd w:val="clear" w:color="auto" w:fill="auto"/>
            <w:noWrap/>
            <w:vAlign w:val="center"/>
            <w:hideMark/>
          </w:tcPr>
          <w:p w14:paraId="1A146874"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1BF7F2C0"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1228639A" w14:textId="77777777" w:rsidR="00865307" w:rsidRPr="00865307" w:rsidRDefault="00865307" w:rsidP="008253C4">
            <w:pPr>
              <w:rPr>
                <w:color w:val="000000"/>
                <w:sz w:val="18"/>
                <w:szCs w:val="18"/>
              </w:rPr>
            </w:pPr>
            <w:r w:rsidRPr="00865307">
              <w:rPr>
                <w:color w:val="000000"/>
                <w:sz w:val="18"/>
                <w:szCs w:val="18"/>
              </w:rPr>
              <w:t>Yes</w:t>
            </w:r>
          </w:p>
        </w:tc>
        <w:tc>
          <w:tcPr>
            <w:tcW w:w="1701" w:type="dxa"/>
            <w:tcBorders>
              <w:top w:val="nil"/>
              <w:left w:val="nil"/>
              <w:bottom w:val="nil"/>
              <w:right w:val="nil"/>
            </w:tcBorders>
            <w:shd w:val="clear" w:color="auto" w:fill="auto"/>
            <w:noWrap/>
            <w:vAlign w:val="center"/>
            <w:hideMark/>
          </w:tcPr>
          <w:p w14:paraId="3281D919" w14:textId="77777777" w:rsidR="00865307" w:rsidRPr="00865307" w:rsidRDefault="00865307" w:rsidP="008253C4">
            <w:pPr>
              <w:jc w:val="center"/>
              <w:rPr>
                <w:color w:val="000000"/>
                <w:sz w:val="18"/>
                <w:szCs w:val="18"/>
              </w:rPr>
            </w:pPr>
            <w:r w:rsidRPr="00865307">
              <w:rPr>
                <w:color w:val="000000"/>
                <w:sz w:val="18"/>
                <w:szCs w:val="18"/>
              </w:rPr>
              <w:t>146 (91.8%)</w:t>
            </w:r>
          </w:p>
        </w:tc>
        <w:tc>
          <w:tcPr>
            <w:tcW w:w="1417" w:type="dxa"/>
            <w:tcBorders>
              <w:top w:val="nil"/>
              <w:left w:val="nil"/>
              <w:bottom w:val="nil"/>
              <w:right w:val="nil"/>
            </w:tcBorders>
            <w:shd w:val="clear" w:color="auto" w:fill="auto"/>
            <w:noWrap/>
            <w:vAlign w:val="center"/>
            <w:hideMark/>
          </w:tcPr>
          <w:p w14:paraId="3A7258DE" w14:textId="77777777" w:rsidR="00865307" w:rsidRPr="00865307" w:rsidRDefault="00865307" w:rsidP="008253C4">
            <w:pPr>
              <w:jc w:val="center"/>
              <w:rPr>
                <w:color w:val="000000"/>
                <w:sz w:val="18"/>
                <w:szCs w:val="18"/>
              </w:rPr>
            </w:pPr>
            <w:r w:rsidRPr="00865307">
              <w:rPr>
                <w:color w:val="000000"/>
                <w:sz w:val="18"/>
                <w:szCs w:val="18"/>
              </w:rPr>
              <w:t>85 (88.5%)</w:t>
            </w:r>
          </w:p>
        </w:tc>
        <w:tc>
          <w:tcPr>
            <w:tcW w:w="1418" w:type="dxa"/>
            <w:tcBorders>
              <w:top w:val="nil"/>
              <w:left w:val="nil"/>
              <w:bottom w:val="nil"/>
              <w:right w:val="nil"/>
            </w:tcBorders>
            <w:shd w:val="clear" w:color="auto" w:fill="auto"/>
            <w:noWrap/>
            <w:vAlign w:val="center"/>
            <w:hideMark/>
          </w:tcPr>
          <w:p w14:paraId="4FC80CBF" w14:textId="77777777" w:rsidR="00865307" w:rsidRPr="00865307" w:rsidRDefault="00865307" w:rsidP="008253C4">
            <w:pPr>
              <w:jc w:val="center"/>
              <w:rPr>
                <w:color w:val="000000"/>
                <w:sz w:val="18"/>
                <w:szCs w:val="18"/>
              </w:rPr>
            </w:pPr>
            <w:r w:rsidRPr="00865307">
              <w:rPr>
                <w:color w:val="000000"/>
                <w:sz w:val="18"/>
                <w:szCs w:val="18"/>
              </w:rPr>
              <w:t>14 (100.0%)</w:t>
            </w:r>
          </w:p>
        </w:tc>
        <w:tc>
          <w:tcPr>
            <w:tcW w:w="1417" w:type="dxa"/>
            <w:tcBorders>
              <w:top w:val="nil"/>
              <w:left w:val="nil"/>
              <w:bottom w:val="nil"/>
              <w:right w:val="nil"/>
            </w:tcBorders>
            <w:shd w:val="clear" w:color="auto" w:fill="auto"/>
            <w:noWrap/>
            <w:vAlign w:val="center"/>
            <w:hideMark/>
          </w:tcPr>
          <w:p w14:paraId="489DDBE5" w14:textId="77777777" w:rsidR="00865307" w:rsidRPr="00865307" w:rsidRDefault="00865307" w:rsidP="008253C4">
            <w:pPr>
              <w:jc w:val="center"/>
              <w:rPr>
                <w:color w:val="000000"/>
                <w:sz w:val="18"/>
                <w:szCs w:val="18"/>
              </w:rPr>
            </w:pPr>
            <w:r w:rsidRPr="00865307">
              <w:rPr>
                <w:color w:val="000000"/>
                <w:sz w:val="18"/>
                <w:szCs w:val="18"/>
              </w:rPr>
              <w:t>26 (96.4%)</w:t>
            </w:r>
          </w:p>
        </w:tc>
        <w:tc>
          <w:tcPr>
            <w:tcW w:w="1418" w:type="dxa"/>
            <w:tcBorders>
              <w:top w:val="nil"/>
              <w:left w:val="nil"/>
              <w:bottom w:val="nil"/>
              <w:right w:val="nil"/>
            </w:tcBorders>
            <w:shd w:val="clear" w:color="auto" w:fill="auto"/>
            <w:noWrap/>
            <w:vAlign w:val="center"/>
            <w:hideMark/>
          </w:tcPr>
          <w:p w14:paraId="6B09B83B" w14:textId="77777777" w:rsidR="00865307" w:rsidRPr="00865307" w:rsidRDefault="00865307" w:rsidP="008253C4">
            <w:pPr>
              <w:jc w:val="center"/>
              <w:rPr>
                <w:color w:val="000000"/>
                <w:sz w:val="18"/>
                <w:szCs w:val="18"/>
              </w:rPr>
            </w:pPr>
            <w:r w:rsidRPr="00865307">
              <w:rPr>
                <w:color w:val="000000"/>
                <w:sz w:val="18"/>
                <w:szCs w:val="18"/>
              </w:rPr>
              <w:t>20 (95.2%)</w:t>
            </w:r>
          </w:p>
        </w:tc>
        <w:tc>
          <w:tcPr>
            <w:tcW w:w="708" w:type="dxa"/>
            <w:tcBorders>
              <w:top w:val="nil"/>
              <w:left w:val="nil"/>
              <w:bottom w:val="nil"/>
              <w:right w:val="nil"/>
            </w:tcBorders>
            <w:shd w:val="clear" w:color="auto" w:fill="auto"/>
            <w:noWrap/>
            <w:vAlign w:val="center"/>
            <w:hideMark/>
          </w:tcPr>
          <w:p w14:paraId="6EED99AE"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2C2D97EE" w14:textId="77777777" w:rsidR="00865307" w:rsidRPr="00865307" w:rsidRDefault="00865307" w:rsidP="008253C4">
            <w:pPr>
              <w:jc w:val="center"/>
              <w:rPr>
                <w:sz w:val="18"/>
                <w:szCs w:val="18"/>
              </w:rPr>
            </w:pPr>
          </w:p>
        </w:tc>
      </w:tr>
      <w:tr w:rsidR="00865307" w:rsidRPr="00865307" w14:paraId="4A45AB79" w14:textId="77777777" w:rsidTr="008253C4">
        <w:trPr>
          <w:trHeight w:val="320"/>
        </w:trPr>
        <w:tc>
          <w:tcPr>
            <w:tcW w:w="283" w:type="dxa"/>
            <w:tcBorders>
              <w:top w:val="nil"/>
              <w:left w:val="nil"/>
              <w:bottom w:val="nil"/>
              <w:right w:val="nil"/>
            </w:tcBorders>
            <w:shd w:val="clear" w:color="auto" w:fill="auto"/>
            <w:noWrap/>
            <w:vAlign w:val="center"/>
            <w:hideMark/>
          </w:tcPr>
          <w:p w14:paraId="2F99EA07"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3EB3D31A" w14:textId="77777777" w:rsidR="00865307" w:rsidRPr="00865307" w:rsidRDefault="00865307" w:rsidP="008253C4">
            <w:pPr>
              <w:rPr>
                <w:color w:val="000000"/>
                <w:sz w:val="18"/>
                <w:szCs w:val="18"/>
              </w:rPr>
            </w:pPr>
            <w:r w:rsidRPr="00865307">
              <w:rPr>
                <w:color w:val="000000"/>
                <w:sz w:val="18"/>
                <w:szCs w:val="18"/>
              </w:rPr>
              <w:t>Presence of diabetes</w:t>
            </w:r>
          </w:p>
        </w:tc>
        <w:tc>
          <w:tcPr>
            <w:tcW w:w="1701" w:type="dxa"/>
            <w:tcBorders>
              <w:top w:val="nil"/>
              <w:left w:val="nil"/>
              <w:bottom w:val="nil"/>
              <w:right w:val="nil"/>
            </w:tcBorders>
            <w:shd w:val="clear" w:color="auto" w:fill="auto"/>
            <w:noWrap/>
            <w:vAlign w:val="center"/>
            <w:hideMark/>
          </w:tcPr>
          <w:p w14:paraId="13B66E01"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58A6E2DF"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155A5BEE" w14:textId="77777777" w:rsidR="00865307" w:rsidRPr="00865307" w:rsidRDefault="00865307" w:rsidP="008253C4">
            <w:pPr>
              <w:jc w:val="center"/>
              <w:rPr>
                <w:sz w:val="18"/>
                <w:szCs w:val="18"/>
              </w:rPr>
            </w:pPr>
          </w:p>
        </w:tc>
        <w:tc>
          <w:tcPr>
            <w:tcW w:w="1417" w:type="dxa"/>
            <w:tcBorders>
              <w:top w:val="nil"/>
              <w:left w:val="nil"/>
              <w:bottom w:val="nil"/>
              <w:right w:val="nil"/>
            </w:tcBorders>
            <w:shd w:val="clear" w:color="auto" w:fill="auto"/>
            <w:noWrap/>
            <w:vAlign w:val="center"/>
            <w:hideMark/>
          </w:tcPr>
          <w:p w14:paraId="468587E9" w14:textId="77777777" w:rsidR="00865307" w:rsidRPr="00865307" w:rsidRDefault="00865307" w:rsidP="008253C4">
            <w:pPr>
              <w:jc w:val="center"/>
              <w:rPr>
                <w:sz w:val="18"/>
                <w:szCs w:val="18"/>
              </w:rPr>
            </w:pPr>
          </w:p>
        </w:tc>
        <w:tc>
          <w:tcPr>
            <w:tcW w:w="1418" w:type="dxa"/>
            <w:tcBorders>
              <w:top w:val="nil"/>
              <w:left w:val="nil"/>
              <w:bottom w:val="nil"/>
              <w:right w:val="nil"/>
            </w:tcBorders>
            <w:shd w:val="clear" w:color="auto" w:fill="auto"/>
            <w:noWrap/>
            <w:vAlign w:val="center"/>
            <w:hideMark/>
          </w:tcPr>
          <w:p w14:paraId="0BBBD64E" w14:textId="77777777" w:rsidR="00865307" w:rsidRPr="00865307" w:rsidRDefault="00865307" w:rsidP="008253C4">
            <w:pPr>
              <w:jc w:val="center"/>
              <w:rPr>
                <w:sz w:val="18"/>
                <w:szCs w:val="18"/>
              </w:rPr>
            </w:pPr>
          </w:p>
        </w:tc>
        <w:tc>
          <w:tcPr>
            <w:tcW w:w="708" w:type="dxa"/>
            <w:tcBorders>
              <w:top w:val="nil"/>
              <w:left w:val="nil"/>
              <w:bottom w:val="nil"/>
              <w:right w:val="nil"/>
            </w:tcBorders>
            <w:shd w:val="clear" w:color="auto" w:fill="auto"/>
            <w:noWrap/>
            <w:vAlign w:val="center"/>
            <w:hideMark/>
          </w:tcPr>
          <w:p w14:paraId="40192DF3" w14:textId="77777777" w:rsidR="00865307" w:rsidRPr="00865307" w:rsidRDefault="00865307" w:rsidP="008253C4">
            <w:pPr>
              <w:jc w:val="center"/>
              <w:rPr>
                <w:color w:val="000000"/>
                <w:sz w:val="18"/>
                <w:szCs w:val="18"/>
              </w:rPr>
            </w:pPr>
            <w:r w:rsidRPr="00865307">
              <w:rPr>
                <w:color w:val="000000"/>
                <w:sz w:val="18"/>
                <w:szCs w:val="18"/>
              </w:rPr>
              <w:t>.502</w:t>
            </w:r>
          </w:p>
        </w:tc>
        <w:tc>
          <w:tcPr>
            <w:tcW w:w="709" w:type="dxa"/>
            <w:tcBorders>
              <w:top w:val="nil"/>
              <w:left w:val="nil"/>
              <w:bottom w:val="nil"/>
              <w:right w:val="nil"/>
            </w:tcBorders>
            <w:shd w:val="clear" w:color="auto" w:fill="auto"/>
            <w:noWrap/>
            <w:vAlign w:val="center"/>
            <w:hideMark/>
          </w:tcPr>
          <w:p w14:paraId="2104A549" w14:textId="77777777" w:rsidR="00865307" w:rsidRPr="00865307" w:rsidRDefault="00865307" w:rsidP="008253C4">
            <w:pPr>
              <w:jc w:val="center"/>
              <w:rPr>
                <w:color w:val="000000"/>
                <w:sz w:val="18"/>
                <w:szCs w:val="18"/>
              </w:rPr>
            </w:pPr>
            <w:r w:rsidRPr="00865307">
              <w:rPr>
                <w:color w:val="000000"/>
                <w:sz w:val="18"/>
                <w:szCs w:val="18"/>
              </w:rPr>
              <w:t>0.12</w:t>
            </w:r>
          </w:p>
        </w:tc>
      </w:tr>
      <w:tr w:rsidR="00865307" w:rsidRPr="00865307" w14:paraId="2B998A30" w14:textId="77777777" w:rsidTr="008253C4">
        <w:trPr>
          <w:trHeight w:val="320"/>
        </w:trPr>
        <w:tc>
          <w:tcPr>
            <w:tcW w:w="283" w:type="dxa"/>
            <w:tcBorders>
              <w:top w:val="nil"/>
              <w:left w:val="nil"/>
              <w:bottom w:val="nil"/>
              <w:right w:val="nil"/>
            </w:tcBorders>
            <w:shd w:val="clear" w:color="auto" w:fill="auto"/>
            <w:noWrap/>
            <w:vAlign w:val="center"/>
            <w:hideMark/>
          </w:tcPr>
          <w:p w14:paraId="6DD02582" w14:textId="77777777" w:rsidR="00865307" w:rsidRPr="00865307" w:rsidRDefault="00865307" w:rsidP="008253C4">
            <w:pPr>
              <w:jc w:val="center"/>
              <w:rPr>
                <w:color w:val="000000"/>
                <w:sz w:val="18"/>
                <w:szCs w:val="18"/>
              </w:rPr>
            </w:pPr>
          </w:p>
        </w:tc>
        <w:tc>
          <w:tcPr>
            <w:tcW w:w="284" w:type="dxa"/>
            <w:tcBorders>
              <w:top w:val="nil"/>
              <w:left w:val="nil"/>
              <w:bottom w:val="nil"/>
              <w:right w:val="nil"/>
            </w:tcBorders>
            <w:shd w:val="clear" w:color="auto" w:fill="auto"/>
            <w:noWrap/>
            <w:vAlign w:val="center"/>
            <w:hideMark/>
          </w:tcPr>
          <w:p w14:paraId="653BE349"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458B597C" w14:textId="77777777" w:rsidR="00865307" w:rsidRPr="00865307" w:rsidRDefault="00865307" w:rsidP="008253C4">
            <w:pPr>
              <w:rPr>
                <w:color w:val="000000"/>
                <w:sz w:val="18"/>
                <w:szCs w:val="18"/>
              </w:rPr>
            </w:pPr>
            <w:r w:rsidRPr="00865307">
              <w:rPr>
                <w:color w:val="000000"/>
                <w:sz w:val="18"/>
                <w:szCs w:val="18"/>
              </w:rPr>
              <w:t>No</w:t>
            </w:r>
          </w:p>
        </w:tc>
        <w:tc>
          <w:tcPr>
            <w:tcW w:w="1701" w:type="dxa"/>
            <w:tcBorders>
              <w:top w:val="nil"/>
              <w:left w:val="nil"/>
              <w:bottom w:val="nil"/>
              <w:right w:val="nil"/>
            </w:tcBorders>
            <w:shd w:val="clear" w:color="auto" w:fill="auto"/>
            <w:noWrap/>
            <w:vAlign w:val="center"/>
            <w:hideMark/>
          </w:tcPr>
          <w:p w14:paraId="0DF4CE74" w14:textId="77777777" w:rsidR="00865307" w:rsidRPr="00865307" w:rsidRDefault="00865307" w:rsidP="008253C4">
            <w:pPr>
              <w:jc w:val="center"/>
              <w:rPr>
                <w:color w:val="000000"/>
                <w:sz w:val="18"/>
                <w:szCs w:val="18"/>
              </w:rPr>
            </w:pPr>
            <w:r w:rsidRPr="00865307">
              <w:rPr>
                <w:color w:val="000000"/>
                <w:sz w:val="18"/>
                <w:szCs w:val="18"/>
              </w:rPr>
              <w:t>88 (55.7%)</w:t>
            </w:r>
          </w:p>
        </w:tc>
        <w:tc>
          <w:tcPr>
            <w:tcW w:w="1417" w:type="dxa"/>
            <w:tcBorders>
              <w:top w:val="nil"/>
              <w:left w:val="nil"/>
              <w:bottom w:val="nil"/>
              <w:right w:val="nil"/>
            </w:tcBorders>
            <w:shd w:val="clear" w:color="auto" w:fill="auto"/>
            <w:noWrap/>
            <w:vAlign w:val="center"/>
            <w:hideMark/>
          </w:tcPr>
          <w:p w14:paraId="03A0FAE8" w14:textId="77777777" w:rsidR="00865307" w:rsidRPr="00865307" w:rsidRDefault="00865307" w:rsidP="008253C4">
            <w:pPr>
              <w:jc w:val="center"/>
              <w:rPr>
                <w:color w:val="000000"/>
                <w:sz w:val="18"/>
                <w:szCs w:val="18"/>
              </w:rPr>
            </w:pPr>
            <w:r w:rsidRPr="00865307">
              <w:rPr>
                <w:color w:val="000000"/>
                <w:sz w:val="18"/>
                <w:szCs w:val="18"/>
              </w:rPr>
              <w:t>56 (58.9%)</w:t>
            </w:r>
          </w:p>
        </w:tc>
        <w:tc>
          <w:tcPr>
            <w:tcW w:w="1418" w:type="dxa"/>
            <w:tcBorders>
              <w:top w:val="nil"/>
              <w:left w:val="nil"/>
              <w:bottom w:val="nil"/>
              <w:right w:val="nil"/>
            </w:tcBorders>
            <w:shd w:val="clear" w:color="auto" w:fill="auto"/>
            <w:noWrap/>
            <w:vAlign w:val="center"/>
            <w:hideMark/>
          </w:tcPr>
          <w:p w14:paraId="51C643B0" w14:textId="77777777" w:rsidR="00865307" w:rsidRPr="00865307" w:rsidRDefault="00865307" w:rsidP="008253C4">
            <w:pPr>
              <w:jc w:val="center"/>
              <w:rPr>
                <w:color w:val="000000"/>
                <w:sz w:val="18"/>
                <w:szCs w:val="18"/>
              </w:rPr>
            </w:pPr>
            <w:r w:rsidRPr="00865307">
              <w:rPr>
                <w:color w:val="000000"/>
                <w:sz w:val="18"/>
                <w:szCs w:val="18"/>
              </w:rPr>
              <w:t>9 (64.3%)</w:t>
            </w:r>
          </w:p>
        </w:tc>
        <w:tc>
          <w:tcPr>
            <w:tcW w:w="1417" w:type="dxa"/>
            <w:tcBorders>
              <w:top w:val="nil"/>
              <w:left w:val="nil"/>
              <w:bottom w:val="nil"/>
              <w:right w:val="nil"/>
            </w:tcBorders>
            <w:shd w:val="clear" w:color="auto" w:fill="auto"/>
            <w:noWrap/>
            <w:vAlign w:val="center"/>
            <w:hideMark/>
          </w:tcPr>
          <w:p w14:paraId="3E1F93A0" w14:textId="77777777" w:rsidR="00865307" w:rsidRPr="00865307" w:rsidRDefault="00865307" w:rsidP="008253C4">
            <w:pPr>
              <w:jc w:val="center"/>
              <w:rPr>
                <w:color w:val="000000"/>
                <w:sz w:val="18"/>
                <w:szCs w:val="18"/>
              </w:rPr>
            </w:pPr>
            <w:r w:rsidRPr="00865307">
              <w:rPr>
                <w:color w:val="000000"/>
                <w:sz w:val="18"/>
                <w:szCs w:val="18"/>
              </w:rPr>
              <w:t>13 (46.4%)</w:t>
            </w:r>
          </w:p>
        </w:tc>
        <w:tc>
          <w:tcPr>
            <w:tcW w:w="1418" w:type="dxa"/>
            <w:tcBorders>
              <w:top w:val="nil"/>
              <w:left w:val="nil"/>
              <w:bottom w:val="nil"/>
              <w:right w:val="nil"/>
            </w:tcBorders>
            <w:shd w:val="clear" w:color="auto" w:fill="auto"/>
            <w:noWrap/>
            <w:vAlign w:val="center"/>
            <w:hideMark/>
          </w:tcPr>
          <w:p w14:paraId="5C6F2F0D" w14:textId="77777777" w:rsidR="00865307" w:rsidRPr="00865307" w:rsidRDefault="00865307" w:rsidP="008253C4">
            <w:pPr>
              <w:jc w:val="center"/>
              <w:rPr>
                <w:color w:val="000000"/>
                <w:sz w:val="18"/>
                <w:szCs w:val="18"/>
              </w:rPr>
            </w:pPr>
            <w:r w:rsidRPr="00865307">
              <w:rPr>
                <w:color w:val="000000"/>
                <w:sz w:val="18"/>
                <w:szCs w:val="18"/>
              </w:rPr>
              <w:t>10 (47.6%)</w:t>
            </w:r>
          </w:p>
        </w:tc>
        <w:tc>
          <w:tcPr>
            <w:tcW w:w="708" w:type="dxa"/>
            <w:tcBorders>
              <w:top w:val="nil"/>
              <w:left w:val="nil"/>
              <w:bottom w:val="nil"/>
              <w:right w:val="nil"/>
            </w:tcBorders>
            <w:shd w:val="clear" w:color="auto" w:fill="auto"/>
            <w:noWrap/>
            <w:vAlign w:val="center"/>
            <w:hideMark/>
          </w:tcPr>
          <w:p w14:paraId="306CDBF7"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5B3F6F31" w14:textId="77777777" w:rsidR="00865307" w:rsidRPr="00865307" w:rsidRDefault="00865307" w:rsidP="008253C4">
            <w:pPr>
              <w:jc w:val="center"/>
              <w:rPr>
                <w:sz w:val="18"/>
                <w:szCs w:val="18"/>
              </w:rPr>
            </w:pPr>
          </w:p>
        </w:tc>
      </w:tr>
      <w:tr w:rsidR="00865307" w:rsidRPr="00865307" w14:paraId="1972061F" w14:textId="77777777" w:rsidTr="008253C4">
        <w:trPr>
          <w:trHeight w:val="320"/>
        </w:trPr>
        <w:tc>
          <w:tcPr>
            <w:tcW w:w="283" w:type="dxa"/>
            <w:tcBorders>
              <w:top w:val="nil"/>
              <w:left w:val="nil"/>
              <w:bottom w:val="nil"/>
              <w:right w:val="nil"/>
            </w:tcBorders>
            <w:shd w:val="clear" w:color="auto" w:fill="auto"/>
            <w:noWrap/>
            <w:vAlign w:val="center"/>
            <w:hideMark/>
          </w:tcPr>
          <w:p w14:paraId="3C570FAE" w14:textId="77777777" w:rsidR="00865307" w:rsidRPr="00865307" w:rsidRDefault="00865307" w:rsidP="008253C4">
            <w:pPr>
              <w:jc w:val="center"/>
              <w:rPr>
                <w:sz w:val="18"/>
                <w:szCs w:val="18"/>
              </w:rPr>
            </w:pPr>
          </w:p>
        </w:tc>
        <w:tc>
          <w:tcPr>
            <w:tcW w:w="284" w:type="dxa"/>
            <w:tcBorders>
              <w:top w:val="nil"/>
              <w:left w:val="nil"/>
              <w:bottom w:val="nil"/>
              <w:right w:val="nil"/>
            </w:tcBorders>
            <w:shd w:val="clear" w:color="auto" w:fill="auto"/>
            <w:noWrap/>
            <w:vAlign w:val="center"/>
            <w:hideMark/>
          </w:tcPr>
          <w:p w14:paraId="7301618C" w14:textId="77777777" w:rsidR="00865307" w:rsidRPr="00865307" w:rsidRDefault="00865307" w:rsidP="008253C4">
            <w:pPr>
              <w:rPr>
                <w:sz w:val="18"/>
                <w:szCs w:val="18"/>
              </w:rPr>
            </w:pPr>
          </w:p>
        </w:tc>
        <w:tc>
          <w:tcPr>
            <w:tcW w:w="2269" w:type="dxa"/>
            <w:tcBorders>
              <w:top w:val="nil"/>
              <w:left w:val="nil"/>
              <w:bottom w:val="nil"/>
              <w:right w:val="nil"/>
            </w:tcBorders>
            <w:shd w:val="clear" w:color="auto" w:fill="auto"/>
            <w:noWrap/>
            <w:vAlign w:val="center"/>
            <w:hideMark/>
          </w:tcPr>
          <w:p w14:paraId="170821D0" w14:textId="77777777" w:rsidR="00865307" w:rsidRPr="00865307" w:rsidRDefault="00865307" w:rsidP="008253C4">
            <w:pPr>
              <w:rPr>
                <w:color w:val="000000"/>
                <w:sz w:val="18"/>
                <w:szCs w:val="18"/>
              </w:rPr>
            </w:pPr>
            <w:r w:rsidRPr="00865307">
              <w:rPr>
                <w:color w:val="000000"/>
                <w:sz w:val="18"/>
                <w:szCs w:val="18"/>
              </w:rPr>
              <w:t>Yes</w:t>
            </w:r>
          </w:p>
        </w:tc>
        <w:tc>
          <w:tcPr>
            <w:tcW w:w="1701" w:type="dxa"/>
            <w:tcBorders>
              <w:top w:val="nil"/>
              <w:left w:val="nil"/>
              <w:bottom w:val="nil"/>
              <w:right w:val="nil"/>
            </w:tcBorders>
            <w:shd w:val="clear" w:color="auto" w:fill="auto"/>
            <w:noWrap/>
            <w:vAlign w:val="center"/>
            <w:hideMark/>
          </w:tcPr>
          <w:p w14:paraId="2E05D60C" w14:textId="77777777" w:rsidR="00865307" w:rsidRPr="00865307" w:rsidRDefault="00865307" w:rsidP="008253C4">
            <w:pPr>
              <w:jc w:val="center"/>
              <w:rPr>
                <w:color w:val="000000"/>
                <w:sz w:val="18"/>
                <w:szCs w:val="18"/>
              </w:rPr>
            </w:pPr>
            <w:r w:rsidRPr="00865307">
              <w:rPr>
                <w:color w:val="000000"/>
                <w:sz w:val="18"/>
                <w:szCs w:val="18"/>
              </w:rPr>
              <w:t>70 (44.3%)</w:t>
            </w:r>
          </w:p>
        </w:tc>
        <w:tc>
          <w:tcPr>
            <w:tcW w:w="1417" w:type="dxa"/>
            <w:tcBorders>
              <w:top w:val="nil"/>
              <w:left w:val="nil"/>
              <w:bottom w:val="nil"/>
              <w:right w:val="nil"/>
            </w:tcBorders>
            <w:shd w:val="clear" w:color="auto" w:fill="auto"/>
            <w:noWrap/>
            <w:vAlign w:val="center"/>
            <w:hideMark/>
          </w:tcPr>
          <w:p w14:paraId="30F147A7" w14:textId="77777777" w:rsidR="00865307" w:rsidRPr="00865307" w:rsidRDefault="00865307" w:rsidP="008253C4">
            <w:pPr>
              <w:jc w:val="center"/>
              <w:rPr>
                <w:color w:val="000000"/>
                <w:sz w:val="18"/>
                <w:szCs w:val="18"/>
              </w:rPr>
            </w:pPr>
            <w:r w:rsidRPr="00865307">
              <w:rPr>
                <w:color w:val="000000"/>
                <w:sz w:val="18"/>
                <w:szCs w:val="18"/>
              </w:rPr>
              <w:t>39 (41.1%)</w:t>
            </w:r>
          </w:p>
        </w:tc>
        <w:tc>
          <w:tcPr>
            <w:tcW w:w="1418" w:type="dxa"/>
            <w:tcBorders>
              <w:top w:val="nil"/>
              <w:left w:val="nil"/>
              <w:bottom w:val="nil"/>
              <w:right w:val="nil"/>
            </w:tcBorders>
            <w:shd w:val="clear" w:color="auto" w:fill="auto"/>
            <w:noWrap/>
            <w:vAlign w:val="center"/>
            <w:hideMark/>
          </w:tcPr>
          <w:p w14:paraId="33569B79" w14:textId="77777777" w:rsidR="00865307" w:rsidRPr="00865307" w:rsidRDefault="00865307" w:rsidP="008253C4">
            <w:pPr>
              <w:jc w:val="center"/>
              <w:rPr>
                <w:color w:val="000000"/>
                <w:sz w:val="18"/>
                <w:szCs w:val="18"/>
              </w:rPr>
            </w:pPr>
            <w:r w:rsidRPr="00865307">
              <w:rPr>
                <w:color w:val="000000"/>
                <w:sz w:val="18"/>
                <w:szCs w:val="18"/>
              </w:rPr>
              <w:t>5 (35.7%)</w:t>
            </w:r>
          </w:p>
        </w:tc>
        <w:tc>
          <w:tcPr>
            <w:tcW w:w="1417" w:type="dxa"/>
            <w:tcBorders>
              <w:top w:val="nil"/>
              <w:left w:val="nil"/>
              <w:bottom w:val="nil"/>
              <w:right w:val="nil"/>
            </w:tcBorders>
            <w:shd w:val="clear" w:color="auto" w:fill="auto"/>
            <w:noWrap/>
            <w:vAlign w:val="center"/>
            <w:hideMark/>
          </w:tcPr>
          <w:p w14:paraId="1C974794" w14:textId="77777777" w:rsidR="00865307" w:rsidRPr="00865307" w:rsidRDefault="00865307" w:rsidP="008253C4">
            <w:pPr>
              <w:jc w:val="center"/>
              <w:rPr>
                <w:color w:val="000000"/>
                <w:sz w:val="18"/>
                <w:szCs w:val="18"/>
              </w:rPr>
            </w:pPr>
            <w:r w:rsidRPr="00865307">
              <w:rPr>
                <w:color w:val="000000"/>
                <w:sz w:val="18"/>
                <w:szCs w:val="18"/>
              </w:rPr>
              <w:t>15 (53.6%)</w:t>
            </w:r>
          </w:p>
        </w:tc>
        <w:tc>
          <w:tcPr>
            <w:tcW w:w="1418" w:type="dxa"/>
            <w:tcBorders>
              <w:top w:val="nil"/>
              <w:left w:val="nil"/>
              <w:bottom w:val="nil"/>
              <w:right w:val="nil"/>
            </w:tcBorders>
            <w:shd w:val="clear" w:color="auto" w:fill="auto"/>
            <w:noWrap/>
            <w:vAlign w:val="center"/>
            <w:hideMark/>
          </w:tcPr>
          <w:p w14:paraId="72A1AB57" w14:textId="77777777" w:rsidR="00865307" w:rsidRPr="00865307" w:rsidRDefault="00865307" w:rsidP="008253C4">
            <w:pPr>
              <w:jc w:val="center"/>
              <w:rPr>
                <w:color w:val="000000"/>
                <w:sz w:val="18"/>
                <w:szCs w:val="18"/>
              </w:rPr>
            </w:pPr>
            <w:r w:rsidRPr="00865307">
              <w:rPr>
                <w:color w:val="000000"/>
                <w:sz w:val="18"/>
                <w:szCs w:val="18"/>
              </w:rPr>
              <w:t>11 (52.4%)</w:t>
            </w:r>
          </w:p>
        </w:tc>
        <w:tc>
          <w:tcPr>
            <w:tcW w:w="708" w:type="dxa"/>
            <w:tcBorders>
              <w:top w:val="nil"/>
              <w:left w:val="nil"/>
              <w:bottom w:val="nil"/>
              <w:right w:val="nil"/>
            </w:tcBorders>
            <w:shd w:val="clear" w:color="auto" w:fill="auto"/>
            <w:noWrap/>
            <w:vAlign w:val="center"/>
            <w:hideMark/>
          </w:tcPr>
          <w:p w14:paraId="3F3719BF" w14:textId="77777777" w:rsidR="00865307" w:rsidRPr="00865307" w:rsidRDefault="00865307" w:rsidP="008253C4">
            <w:pPr>
              <w:jc w:val="center"/>
              <w:rPr>
                <w:color w:val="000000"/>
                <w:sz w:val="18"/>
                <w:szCs w:val="18"/>
              </w:rPr>
            </w:pPr>
          </w:p>
        </w:tc>
        <w:tc>
          <w:tcPr>
            <w:tcW w:w="709" w:type="dxa"/>
            <w:tcBorders>
              <w:top w:val="nil"/>
              <w:left w:val="nil"/>
              <w:bottom w:val="nil"/>
              <w:right w:val="nil"/>
            </w:tcBorders>
            <w:shd w:val="clear" w:color="auto" w:fill="auto"/>
            <w:noWrap/>
            <w:vAlign w:val="center"/>
            <w:hideMark/>
          </w:tcPr>
          <w:p w14:paraId="3FE39904" w14:textId="77777777" w:rsidR="00865307" w:rsidRPr="00865307" w:rsidRDefault="00865307" w:rsidP="008253C4">
            <w:pPr>
              <w:jc w:val="center"/>
              <w:rPr>
                <w:sz w:val="18"/>
                <w:szCs w:val="18"/>
              </w:rPr>
            </w:pPr>
          </w:p>
        </w:tc>
      </w:tr>
      <w:tr w:rsidR="00865307" w:rsidRPr="00865307" w14:paraId="11453750" w14:textId="77777777" w:rsidTr="008253C4">
        <w:trPr>
          <w:trHeight w:val="320"/>
        </w:trPr>
        <w:tc>
          <w:tcPr>
            <w:tcW w:w="283" w:type="dxa"/>
            <w:tcBorders>
              <w:top w:val="nil"/>
              <w:left w:val="nil"/>
              <w:bottom w:val="nil"/>
              <w:right w:val="nil"/>
            </w:tcBorders>
            <w:shd w:val="clear" w:color="auto" w:fill="auto"/>
            <w:noWrap/>
            <w:vAlign w:val="center"/>
            <w:hideMark/>
          </w:tcPr>
          <w:p w14:paraId="46619AAB" w14:textId="77777777" w:rsidR="00865307" w:rsidRPr="00865307" w:rsidRDefault="00865307" w:rsidP="008253C4">
            <w:pPr>
              <w:jc w:val="center"/>
              <w:rPr>
                <w:sz w:val="18"/>
                <w:szCs w:val="18"/>
              </w:rPr>
            </w:pPr>
          </w:p>
        </w:tc>
        <w:tc>
          <w:tcPr>
            <w:tcW w:w="2553" w:type="dxa"/>
            <w:gridSpan w:val="2"/>
            <w:tcBorders>
              <w:top w:val="nil"/>
              <w:left w:val="nil"/>
              <w:bottom w:val="nil"/>
              <w:right w:val="nil"/>
            </w:tcBorders>
            <w:shd w:val="clear" w:color="auto" w:fill="auto"/>
            <w:noWrap/>
            <w:vAlign w:val="center"/>
            <w:hideMark/>
          </w:tcPr>
          <w:p w14:paraId="29776FEF" w14:textId="77777777" w:rsidR="00865307" w:rsidRPr="00865307" w:rsidRDefault="00865307" w:rsidP="008253C4">
            <w:pPr>
              <w:rPr>
                <w:color w:val="000000"/>
                <w:sz w:val="18"/>
                <w:szCs w:val="18"/>
              </w:rPr>
            </w:pPr>
            <w:proofErr w:type="spellStart"/>
            <w:r w:rsidRPr="00865307">
              <w:rPr>
                <w:color w:val="000000"/>
                <w:sz w:val="18"/>
                <w:szCs w:val="18"/>
              </w:rPr>
              <w:t>Charlson</w:t>
            </w:r>
            <w:proofErr w:type="spellEnd"/>
            <w:r w:rsidRPr="00865307">
              <w:rPr>
                <w:color w:val="000000"/>
                <w:sz w:val="18"/>
                <w:szCs w:val="18"/>
              </w:rPr>
              <w:t xml:space="preserve"> comorbidity index accounted for age</w:t>
            </w:r>
          </w:p>
        </w:tc>
        <w:tc>
          <w:tcPr>
            <w:tcW w:w="1701" w:type="dxa"/>
            <w:tcBorders>
              <w:top w:val="nil"/>
              <w:left w:val="nil"/>
              <w:bottom w:val="nil"/>
              <w:right w:val="nil"/>
            </w:tcBorders>
            <w:shd w:val="clear" w:color="auto" w:fill="auto"/>
            <w:noWrap/>
            <w:vAlign w:val="center"/>
            <w:hideMark/>
          </w:tcPr>
          <w:p w14:paraId="660DE72F" w14:textId="77777777" w:rsidR="00865307" w:rsidRPr="00865307" w:rsidRDefault="00865307" w:rsidP="008253C4">
            <w:pPr>
              <w:jc w:val="center"/>
              <w:rPr>
                <w:color w:val="000000"/>
                <w:sz w:val="18"/>
                <w:szCs w:val="18"/>
              </w:rPr>
            </w:pPr>
            <w:r w:rsidRPr="00865307">
              <w:rPr>
                <w:color w:val="000000"/>
                <w:sz w:val="18"/>
                <w:szCs w:val="18"/>
              </w:rPr>
              <w:t>4.82 (2.16)</w:t>
            </w:r>
          </w:p>
        </w:tc>
        <w:tc>
          <w:tcPr>
            <w:tcW w:w="1417" w:type="dxa"/>
            <w:tcBorders>
              <w:top w:val="nil"/>
              <w:left w:val="nil"/>
              <w:bottom w:val="nil"/>
              <w:right w:val="nil"/>
            </w:tcBorders>
            <w:shd w:val="clear" w:color="auto" w:fill="auto"/>
            <w:noWrap/>
            <w:vAlign w:val="center"/>
            <w:hideMark/>
          </w:tcPr>
          <w:p w14:paraId="3E6ADB3A" w14:textId="77777777" w:rsidR="00865307" w:rsidRPr="00865307" w:rsidRDefault="00865307" w:rsidP="008253C4">
            <w:pPr>
              <w:jc w:val="center"/>
              <w:rPr>
                <w:color w:val="000000"/>
                <w:sz w:val="18"/>
                <w:szCs w:val="18"/>
              </w:rPr>
            </w:pPr>
            <w:r w:rsidRPr="00865307">
              <w:rPr>
                <w:color w:val="000000"/>
                <w:sz w:val="18"/>
                <w:szCs w:val="18"/>
              </w:rPr>
              <w:t>4.80 (2.32)</w:t>
            </w:r>
          </w:p>
        </w:tc>
        <w:tc>
          <w:tcPr>
            <w:tcW w:w="1418" w:type="dxa"/>
            <w:tcBorders>
              <w:top w:val="nil"/>
              <w:left w:val="nil"/>
              <w:bottom w:val="nil"/>
              <w:right w:val="nil"/>
            </w:tcBorders>
            <w:shd w:val="clear" w:color="auto" w:fill="auto"/>
            <w:noWrap/>
            <w:vAlign w:val="center"/>
            <w:hideMark/>
          </w:tcPr>
          <w:p w14:paraId="24692227" w14:textId="77777777" w:rsidR="00865307" w:rsidRPr="00865307" w:rsidRDefault="00865307" w:rsidP="008253C4">
            <w:pPr>
              <w:jc w:val="center"/>
              <w:rPr>
                <w:color w:val="000000"/>
                <w:sz w:val="18"/>
                <w:szCs w:val="18"/>
              </w:rPr>
            </w:pPr>
            <w:r w:rsidRPr="00865307">
              <w:rPr>
                <w:color w:val="000000"/>
                <w:sz w:val="18"/>
                <w:szCs w:val="18"/>
              </w:rPr>
              <w:t>4.57 (2.28)</w:t>
            </w:r>
          </w:p>
        </w:tc>
        <w:tc>
          <w:tcPr>
            <w:tcW w:w="1417" w:type="dxa"/>
            <w:tcBorders>
              <w:top w:val="nil"/>
              <w:left w:val="nil"/>
              <w:bottom w:val="nil"/>
              <w:right w:val="nil"/>
            </w:tcBorders>
            <w:shd w:val="clear" w:color="auto" w:fill="auto"/>
            <w:noWrap/>
            <w:vAlign w:val="center"/>
            <w:hideMark/>
          </w:tcPr>
          <w:p w14:paraId="70500317" w14:textId="77777777" w:rsidR="00865307" w:rsidRPr="00865307" w:rsidRDefault="00865307" w:rsidP="008253C4">
            <w:pPr>
              <w:jc w:val="center"/>
              <w:rPr>
                <w:color w:val="000000"/>
                <w:sz w:val="18"/>
                <w:szCs w:val="18"/>
              </w:rPr>
            </w:pPr>
            <w:r w:rsidRPr="00865307">
              <w:rPr>
                <w:color w:val="000000"/>
                <w:sz w:val="18"/>
                <w:szCs w:val="18"/>
              </w:rPr>
              <w:t>4.71 (2.03)</w:t>
            </w:r>
          </w:p>
        </w:tc>
        <w:tc>
          <w:tcPr>
            <w:tcW w:w="1418" w:type="dxa"/>
            <w:tcBorders>
              <w:top w:val="nil"/>
              <w:left w:val="nil"/>
              <w:bottom w:val="nil"/>
              <w:right w:val="nil"/>
            </w:tcBorders>
            <w:shd w:val="clear" w:color="auto" w:fill="auto"/>
            <w:noWrap/>
            <w:vAlign w:val="center"/>
            <w:hideMark/>
          </w:tcPr>
          <w:p w14:paraId="489369CA" w14:textId="77777777" w:rsidR="00865307" w:rsidRPr="00865307" w:rsidRDefault="00865307" w:rsidP="008253C4">
            <w:pPr>
              <w:jc w:val="center"/>
              <w:rPr>
                <w:color w:val="000000"/>
                <w:sz w:val="18"/>
                <w:szCs w:val="18"/>
              </w:rPr>
            </w:pPr>
            <w:r w:rsidRPr="00865307">
              <w:rPr>
                <w:color w:val="000000"/>
                <w:sz w:val="18"/>
                <w:szCs w:val="18"/>
              </w:rPr>
              <w:t>5.19 (1.47)</w:t>
            </w:r>
          </w:p>
        </w:tc>
        <w:tc>
          <w:tcPr>
            <w:tcW w:w="708" w:type="dxa"/>
            <w:tcBorders>
              <w:top w:val="nil"/>
              <w:left w:val="nil"/>
              <w:bottom w:val="nil"/>
              <w:right w:val="nil"/>
            </w:tcBorders>
            <w:shd w:val="clear" w:color="auto" w:fill="auto"/>
            <w:noWrap/>
            <w:vAlign w:val="center"/>
            <w:hideMark/>
          </w:tcPr>
          <w:p w14:paraId="5A4E3B87" w14:textId="77777777" w:rsidR="00865307" w:rsidRPr="00865307" w:rsidRDefault="00865307" w:rsidP="008253C4">
            <w:pPr>
              <w:jc w:val="center"/>
              <w:rPr>
                <w:color w:val="000000"/>
                <w:sz w:val="18"/>
                <w:szCs w:val="18"/>
              </w:rPr>
            </w:pPr>
            <w:r w:rsidRPr="00865307">
              <w:rPr>
                <w:color w:val="000000"/>
                <w:sz w:val="18"/>
                <w:szCs w:val="18"/>
              </w:rPr>
              <w:t>.834</w:t>
            </w:r>
          </w:p>
        </w:tc>
        <w:tc>
          <w:tcPr>
            <w:tcW w:w="709" w:type="dxa"/>
            <w:tcBorders>
              <w:top w:val="nil"/>
              <w:left w:val="nil"/>
              <w:bottom w:val="nil"/>
              <w:right w:val="nil"/>
            </w:tcBorders>
            <w:shd w:val="clear" w:color="auto" w:fill="auto"/>
            <w:noWrap/>
            <w:vAlign w:val="center"/>
            <w:hideMark/>
          </w:tcPr>
          <w:p w14:paraId="064E9F62" w14:textId="77777777" w:rsidR="00865307" w:rsidRPr="00865307" w:rsidRDefault="00865307" w:rsidP="008253C4">
            <w:pPr>
              <w:jc w:val="center"/>
              <w:rPr>
                <w:color w:val="000000"/>
                <w:sz w:val="18"/>
                <w:szCs w:val="18"/>
              </w:rPr>
            </w:pPr>
            <w:r w:rsidRPr="00865307">
              <w:rPr>
                <w:color w:val="000000"/>
                <w:sz w:val="18"/>
                <w:szCs w:val="18"/>
              </w:rPr>
              <w:t>0.01</w:t>
            </w:r>
          </w:p>
        </w:tc>
      </w:tr>
      <w:tr w:rsidR="00865307" w:rsidRPr="00865307" w14:paraId="7D8D1F5B" w14:textId="77777777" w:rsidTr="008253C4">
        <w:trPr>
          <w:trHeight w:val="320"/>
        </w:trPr>
        <w:tc>
          <w:tcPr>
            <w:tcW w:w="283" w:type="dxa"/>
            <w:tcBorders>
              <w:top w:val="nil"/>
              <w:left w:val="nil"/>
              <w:bottom w:val="single" w:sz="4" w:space="0" w:color="auto"/>
              <w:right w:val="nil"/>
            </w:tcBorders>
            <w:shd w:val="clear" w:color="auto" w:fill="auto"/>
            <w:noWrap/>
            <w:vAlign w:val="center"/>
            <w:hideMark/>
          </w:tcPr>
          <w:p w14:paraId="2767C132" w14:textId="77777777" w:rsidR="00865307" w:rsidRPr="00865307" w:rsidRDefault="00865307" w:rsidP="008253C4">
            <w:pPr>
              <w:rPr>
                <w:color w:val="000000"/>
                <w:sz w:val="18"/>
                <w:szCs w:val="18"/>
              </w:rPr>
            </w:pPr>
            <w:r w:rsidRPr="00865307">
              <w:rPr>
                <w:color w:val="000000"/>
                <w:sz w:val="18"/>
                <w:szCs w:val="18"/>
              </w:rPr>
              <w:t> </w:t>
            </w:r>
          </w:p>
        </w:tc>
        <w:tc>
          <w:tcPr>
            <w:tcW w:w="2553" w:type="dxa"/>
            <w:gridSpan w:val="2"/>
            <w:tcBorders>
              <w:top w:val="nil"/>
              <w:left w:val="nil"/>
              <w:bottom w:val="single" w:sz="4" w:space="0" w:color="auto"/>
              <w:right w:val="nil"/>
            </w:tcBorders>
            <w:shd w:val="clear" w:color="auto" w:fill="auto"/>
            <w:noWrap/>
            <w:vAlign w:val="center"/>
            <w:hideMark/>
          </w:tcPr>
          <w:p w14:paraId="526B596E" w14:textId="77777777" w:rsidR="00865307" w:rsidRPr="00865307" w:rsidRDefault="00865307" w:rsidP="008253C4">
            <w:pPr>
              <w:rPr>
                <w:color w:val="000000"/>
                <w:sz w:val="18"/>
                <w:szCs w:val="18"/>
              </w:rPr>
            </w:pPr>
            <w:r w:rsidRPr="00865307">
              <w:rPr>
                <w:color w:val="000000"/>
                <w:sz w:val="18"/>
                <w:szCs w:val="18"/>
              </w:rPr>
              <w:t>Dialysis adequacy (Kt/V)</w:t>
            </w:r>
          </w:p>
        </w:tc>
        <w:tc>
          <w:tcPr>
            <w:tcW w:w="1701" w:type="dxa"/>
            <w:tcBorders>
              <w:top w:val="nil"/>
              <w:left w:val="nil"/>
              <w:bottom w:val="single" w:sz="4" w:space="0" w:color="auto"/>
              <w:right w:val="nil"/>
            </w:tcBorders>
            <w:shd w:val="clear" w:color="auto" w:fill="auto"/>
            <w:noWrap/>
            <w:vAlign w:val="center"/>
            <w:hideMark/>
          </w:tcPr>
          <w:p w14:paraId="7B52A8A0" w14:textId="77777777" w:rsidR="00865307" w:rsidRPr="00865307" w:rsidRDefault="00865307" w:rsidP="008253C4">
            <w:pPr>
              <w:jc w:val="center"/>
              <w:rPr>
                <w:color w:val="000000"/>
                <w:sz w:val="18"/>
                <w:szCs w:val="18"/>
              </w:rPr>
            </w:pPr>
            <w:r w:rsidRPr="00865307">
              <w:rPr>
                <w:color w:val="000000"/>
                <w:sz w:val="18"/>
                <w:szCs w:val="18"/>
              </w:rPr>
              <w:t>1.48 (0.57)</w:t>
            </w:r>
          </w:p>
        </w:tc>
        <w:tc>
          <w:tcPr>
            <w:tcW w:w="1417" w:type="dxa"/>
            <w:tcBorders>
              <w:top w:val="nil"/>
              <w:left w:val="nil"/>
              <w:bottom w:val="single" w:sz="4" w:space="0" w:color="auto"/>
              <w:right w:val="nil"/>
            </w:tcBorders>
            <w:shd w:val="clear" w:color="auto" w:fill="auto"/>
            <w:noWrap/>
            <w:vAlign w:val="center"/>
            <w:hideMark/>
          </w:tcPr>
          <w:p w14:paraId="2D1BEFE5" w14:textId="77777777" w:rsidR="00865307" w:rsidRPr="00865307" w:rsidRDefault="00865307" w:rsidP="008253C4">
            <w:pPr>
              <w:jc w:val="center"/>
              <w:rPr>
                <w:color w:val="000000"/>
                <w:sz w:val="18"/>
                <w:szCs w:val="18"/>
              </w:rPr>
            </w:pPr>
            <w:r w:rsidRPr="00865307">
              <w:rPr>
                <w:color w:val="000000"/>
                <w:sz w:val="18"/>
                <w:szCs w:val="18"/>
              </w:rPr>
              <w:t>1.53 (0.63)</w:t>
            </w:r>
          </w:p>
        </w:tc>
        <w:tc>
          <w:tcPr>
            <w:tcW w:w="1418" w:type="dxa"/>
            <w:tcBorders>
              <w:top w:val="nil"/>
              <w:left w:val="nil"/>
              <w:bottom w:val="single" w:sz="4" w:space="0" w:color="auto"/>
              <w:right w:val="nil"/>
            </w:tcBorders>
            <w:shd w:val="clear" w:color="auto" w:fill="auto"/>
            <w:noWrap/>
            <w:vAlign w:val="center"/>
            <w:hideMark/>
          </w:tcPr>
          <w:p w14:paraId="23CF0214" w14:textId="77777777" w:rsidR="00865307" w:rsidRPr="00865307" w:rsidRDefault="00865307" w:rsidP="008253C4">
            <w:pPr>
              <w:jc w:val="center"/>
              <w:rPr>
                <w:color w:val="000000"/>
                <w:sz w:val="18"/>
                <w:szCs w:val="18"/>
              </w:rPr>
            </w:pPr>
            <w:r w:rsidRPr="00865307">
              <w:rPr>
                <w:color w:val="000000"/>
                <w:sz w:val="18"/>
                <w:szCs w:val="18"/>
              </w:rPr>
              <w:t>1.49 (0.32)</w:t>
            </w:r>
          </w:p>
        </w:tc>
        <w:tc>
          <w:tcPr>
            <w:tcW w:w="1417" w:type="dxa"/>
            <w:tcBorders>
              <w:top w:val="nil"/>
              <w:left w:val="nil"/>
              <w:bottom w:val="single" w:sz="4" w:space="0" w:color="auto"/>
              <w:right w:val="nil"/>
            </w:tcBorders>
            <w:shd w:val="clear" w:color="auto" w:fill="auto"/>
            <w:noWrap/>
            <w:vAlign w:val="center"/>
            <w:hideMark/>
          </w:tcPr>
          <w:p w14:paraId="578F8398" w14:textId="77777777" w:rsidR="00865307" w:rsidRPr="00865307" w:rsidRDefault="00865307" w:rsidP="008253C4">
            <w:pPr>
              <w:jc w:val="center"/>
              <w:rPr>
                <w:color w:val="000000"/>
                <w:sz w:val="18"/>
                <w:szCs w:val="18"/>
              </w:rPr>
            </w:pPr>
            <w:r w:rsidRPr="00865307">
              <w:rPr>
                <w:color w:val="000000"/>
                <w:sz w:val="18"/>
                <w:szCs w:val="18"/>
              </w:rPr>
              <w:t>1.43 (0.60)</w:t>
            </w:r>
          </w:p>
        </w:tc>
        <w:tc>
          <w:tcPr>
            <w:tcW w:w="1418" w:type="dxa"/>
            <w:tcBorders>
              <w:top w:val="nil"/>
              <w:left w:val="nil"/>
              <w:bottom w:val="single" w:sz="4" w:space="0" w:color="auto"/>
              <w:right w:val="nil"/>
            </w:tcBorders>
            <w:shd w:val="clear" w:color="auto" w:fill="auto"/>
            <w:noWrap/>
            <w:vAlign w:val="center"/>
            <w:hideMark/>
          </w:tcPr>
          <w:p w14:paraId="37B83F40" w14:textId="77777777" w:rsidR="00865307" w:rsidRPr="00865307" w:rsidRDefault="00865307" w:rsidP="008253C4">
            <w:pPr>
              <w:jc w:val="center"/>
              <w:rPr>
                <w:color w:val="000000"/>
                <w:sz w:val="18"/>
                <w:szCs w:val="18"/>
              </w:rPr>
            </w:pPr>
            <w:r w:rsidRPr="00865307">
              <w:rPr>
                <w:color w:val="000000"/>
                <w:sz w:val="18"/>
                <w:szCs w:val="18"/>
              </w:rPr>
              <w:t>1.31 (0.29)</w:t>
            </w:r>
          </w:p>
        </w:tc>
        <w:tc>
          <w:tcPr>
            <w:tcW w:w="708" w:type="dxa"/>
            <w:tcBorders>
              <w:top w:val="nil"/>
              <w:left w:val="nil"/>
              <w:bottom w:val="single" w:sz="4" w:space="0" w:color="auto"/>
              <w:right w:val="nil"/>
            </w:tcBorders>
            <w:shd w:val="clear" w:color="auto" w:fill="auto"/>
            <w:noWrap/>
            <w:vAlign w:val="center"/>
            <w:hideMark/>
          </w:tcPr>
          <w:p w14:paraId="325F5CB5" w14:textId="77777777" w:rsidR="00865307" w:rsidRPr="00865307" w:rsidRDefault="00865307" w:rsidP="008253C4">
            <w:pPr>
              <w:jc w:val="center"/>
              <w:rPr>
                <w:color w:val="000000"/>
                <w:sz w:val="18"/>
                <w:szCs w:val="18"/>
              </w:rPr>
            </w:pPr>
            <w:r w:rsidRPr="00865307">
              <w:rPr>
                <w:color w:val="000000"/>
                <w:sz w:val="18"/>
                <w:szCs w:val="18"/>
              </w:rPr>
              <w:t>.443</w:t>
            </w:r>
          </w:p>
        </w:tc>
        <w:tc>
          <w:tcPr>
            <w:tcW w:w="709" w:type="dxa"/>
            <w:tcBorders>
              <w:top w:val="nil"/>
              <w:left w:val="nil"/>
              <w:bottom w:val="single" w:sz="4" w:space="0" w:color="auto"/>
              <w:right w:val="nil"/>
            </w:tcBorders>
            <w:shd w:val="clear" w:color="auto" w:fill="auto"/>
            <w:noWrap/>
            <w:vAlign w:val="center"/>
            <w:hideMark/>
          </w:tcPr>
          <w:p w14:paraId="0F745928" w14:textId="77777777" w:rsidR="00865307" w:rsidRPr="00865307" w:rsidRDefault="00865307" w:rsidP="008253C4">
            <w:pPr>
              <w:jc w:val="center"/>
              <w:rPr>
                <w:color w:val="000000"/>
                <w:sz w:val="18"/>
                <w:szCs w:val="18"/>
              </w:rPr>
            </w:pPr>
            <w:r w:rsidRPr="00865307">
              <w:rPr>
                <w:color w:val="000000"/>
                <w:sz w:val="18"/>
                <w:szCs w:val="18"/>
              </w:rPr>
              <w:t>0.02</w:t>
            </w:r>
          </w:p>
        </w:tc>
      </w:tr>
      <w:tr w:rsidR="00865307" w:rsidRPr="00865307" w14:paraId="09D43416" w14:textId="77777777" w:rsidTr="008253C4">
        <w:trPr>
          <w:trHeight w:val="320"/>
        </w:trPr>
        <w:tc>
          <w:tcPr>
            <w:tcW w:w="2836" w:type="dxa"/>
            <w:gridSpan w:val="3"/>
            <w:tcBorders>
              <w:top w:val="nil"/>
              <w:left w:val="nil"/>
              <w:bottom w:val="nil"/>
              <w:right w:val="nil"/>
            </w:tcBorders>
            <w:shd w:val="clear" w:color="auto" w:fill="auto"/>
            <w:noWrap/>
            <w:vAlign w:val="center"/>
            <w:hideMark/>
          </w:tcPr>
          <w:p w14:paraId="29F8DF5F" w14:textId="77777777" w:rsidR="00865307" w:rsidRPr="00865307" w:rsidRDefault="00865307" w:rsidP="008253C4">
            <w:pPr>
              <w:rPr>
                <w:color w:val="000000"/>
                <w:sz w:val="18"/>
                <w:szCs w:val="18"/>
              </w:rPr>
            </w:pPr>
            <w:r w:rsidRPr="00865307">
              <w:rPr>
                <w:color w:val="000000"/>
                <w:sz w:val="18"/>
                <w:szCs w:val="18"/>
              </w:rPr>
              <w:t xml:space="preserve">* </w:t>
            </w:r>
            <w:r w:rsidRPr="00865307">
              <w:rPr>
                <w:i/>
                <w:iCs/>
                <w:color w:val="000000"/>
                <w:sz w:val="18"/>
                <w:szCs w:val="18"/>
              </w:rPr>
              <w:t xml:space="preserve">p </w:t>
            </w:r>
            <w:r w:rsidRPr="00865307">
              <w:rPr>
                <w:color w:val="000000"/>
                <w:sz w:val="18"/>
                <w:szCs w:val="18"/>
              </w:rPr>
              <w:t>&lt; .050.</w:t>
            </w:r>
          </w:p>
        </w:tc>
        <w:tc>
          <w:tcPr>
            <w:tcW w:w="1701" w:type="dxa"/>
            <w:tcBorders>
              <w:top w:val="nil"/>
              <w:left w:val="nil"/>
              <w:bottom w:val="nil"/>
              <w:right w:val="nil"/>
            </w:tcBorders>
            <w:shd w:val="clear" w:color="auto" w:fill="auto"/>
            <w:noWrap/>
            <w:vAlign w:val="center"/>
            <w:hideMark/>
          </w:tcPr>
          <w:p w14:paraId="4B9DF5FC" w14:textId="77777777" w:rsidR="00865307" w:rsidRPr="00865307" w:rsidRDefault="00865307" w:rsidP="008253C4">
            <w:pPr>
              <w:rPr>
                <w:color w:val="000000"/>
                <w:sz w:val="18"/>
                <w:szCs w:val="18"/>
              </w:rPr>
            </w:pPr>
          </w:p>
        </w:tc>
        <w:tc>
          <w:tcPr>
            <w:tcW w:w="1417" w:type="dxa"/>
            <w:tcBorders>
              <w:top w:val="nil"/>
              <w:left w:val="nil"/>
              <w:bottom w:val="nil"/>
              <w:right w:val="nil"/>
            </w:tcBorders>
            <w:shd w:val="clear" w:color="auto" w:fill="auto"/>
            <w:noWrap/>
            <w:vAlign w:val="center"/>
            <w:hideMark/>
          </w:tcPr>
          <w:p w14:paraId="05F2A06A" w14:textId="77777777" w:rsidR="00865307" w:rsidRPr="00865307" w:rsidRDefault="00865307" w:rsidP="008253C4">
            <w:pPr>
              <w:rPr>
                <w:sz w:val="18"/>
                <w:szCs w:val="18"/>
              </w:rPr>
            </w:pPr>
          </w:p>
        </w:tc>
        <w:tc>
          <w:tcPr>
            <w:tcW w:w="1418" w:type="dxa"/>
            <w:tcBorders>
              <w:top w:val="nil"/>
              <w:left w:val="nil"/>
              <w:bottom w:val="nil"/>
              <w:right w:val="nil"/>
            </w:tcBorders>
            <w:shd w:val="clear" w:color="auto" w:fill="auto"/>
            <w:noWrap/>
            <w:vAlign w:val="center"/>
            <w:hideMark/>
          </w:tcPr>
          <w:p w14:paraId="4800AA25" w14:textId="77777777" w:rsidR="00865307" w:rsidRPr="00865307" w:rsidRDefault="00865307" w:rsidP="008253C4">
            <w:pPr>
              <w:rPr>
                <w:sz w:val="18"/>
                <w:szCs w:val="18"/>
              </w:rPr>
            </w:pPr>
          </w:p>
        </w:tc>
        <w:tc>
          <w:tcPr>
            <w:tcW w:w="1417" w:type="dxa"/>
            <w:tcBorders>
              <w:top w:val="nil"/>
              <w:left w:val="nil"/>
              <w:bottom w:val="nil"/>
              <w:right w:val="nil"/>
            </w:tcBorders>
            <w:shd w:val="clear" w:color="auto" w:fill="auto"/>
            <w:noWrap/>
            <w:vAlign w:val="center"/>
            <w:hideMark/>
          </w:tcPr>
          <w:p w14:paraId="5C8C2AA7" w14:textId="77777777" w:rsidR="00865307" w:rsidRPr="00865307" w:rsidRDefault="00865307" w:rsidP="008253C4">
            <w:pPr>
              <w:rPr>
                <w:sz w:val="18"/>
                <w:szCs w:val="18"/>
              </w:rPr>
            </w:pPr>
          </w:p>
        </w:tc>
        <w:tc>
          <w:tcPr>
            <w:tcW w:w="1418" w:type="dxa"/>
            <w:tcBorders>
              <w:top w:val="nil"/>
              <w:left w:val="nil"/>
              <w:bottom w:val="nil"/>
              <w:right w:val="nil"/>
            </w:tcBorders>
            <w:shd w:val="clear" w:color="auto" w:fill="auto"/>
            <w:noWrap/>
            <w:vAlign w:val="center"/>
            <w:hideMark/>
          </w:tcPr>
          <w:p w14:paraId="084D2103" w14:textId="77777777" w:rsidR="00865307" w:rsidRPr="00865307" w:rsidRDefault="00865307" w:rsidP="008253C4">
            <w:pPr>
              <w:rPr>
                <w:sz w:val="18"/>
                <w:szCs w:val="18"/>
              </w:rPr>
            </w:pPr>
          </w:p>
        </w:tc>
        <w:tc>
          <w:tcPr>
            <w:tcW w:w="708" w:type="dxa"/>
            <w:tcBorders>
              <w:top w:val="nil"/>
              <w:left w:val="nil"/>
              <w:bottom w:val="nil"/>
              <w:right w:val="nil"/>
            </w:tcBorders>
            <w:shd w:val="clear" w:color="auto" w:fill="auto"/>
            <w:noWrap/>
            <w:vAlign w:val="center"/>
            <w:hideMark/>
          </w:tcPr>
          <w:p w14:paraId="11F8297D" w14:textId="77777777" w:rsidR="00865307" w:rsidRPr="00865307" w:rsidRDefault="00865307" w:rsidP="008253C4">
            <w:pPr>
              <w:rPr>
                <w:sz w:val="18"/>
                <w:szCs w:val="18"/>
              </w:rPr>
            </w:pPr>
          </w:p>
        </w:tc>
        <w:tc>
          <w:tcPr>
            <w:tcW w:w="709" w:type="dxa"/>
            <w:tcBorders>
              <w:top w:val="nil"/>
              <w:left w:val="nil"/>
              <w:bottom w:val="nil"/>
              <w:right w:val="nil"/>
            </w:tcBorders>
            <w:shd w:val="clear" w:color="auto" w:fill="auto"/>
            <w:noWrap/>
            <w:vAlign w:val="center"/>
            <w:hideMark/>
          </w:tcPr>
          <w:p w14:paraId="785C5921" w14:textId="77777777" w:rsidR="00865307" w:rsidRPr="00865307" w:rsidRDefault="00865307" w:rsidP="008253C4">
            <w:pPr>
              <w:jc w:val="center"/>
              <w:rPr>
                <w:sz w:val="18"/>
                <w:szCs w:val="18"/>
              </w:rPr>
            </w:pPr>
          </w:p>
        </w:tc>
      </w:tr>
    </w:tbl>
    <w:p w14:paraId="5132B45A" w14:textId="382266E3" w:rsidR="008753B3" w:rsidRPr="00577052" w:rsidRDefault="00865307" w:rsidP="00577052">
      <w:pPr>
        <w:spacing w:line="480" w:lineRule="auto"/>
        <w:contextualSpacing/>
        <w:rPr>
          <w:lang w:val="en-GB"/>
        </w:rPr>
      </w:pPr>
      <w:r w:rsidRPr="008253C4">
        <w:rPr>
          <w:sz w:val="18"/>
          <w:szCs w:val="18"/>
          <w:lang w:val="en-GB"/>
        </w:rPr>
        <w:t xml:space="preserve">Notes. Effect sizes are either partial eta-square (ANOVA) or </w:t>
      </w:r>
      <w:r w:rsidR="00852C9F" w:rsidRPr="008253C4">
        <w:rPr>
          <w:sz w:val="18"/>
          <w:szCs w:val="18"/>
          <w:lang w:val="en-GB"/>
        </w:rPr>
        <w:t>Cramer’s</w:t>
      </w:r>
      <w:r w:rsidRPr="008253C4">
        <w:rPr>
          <w:sz w:val="18"/>
          <w:szCs w:val="18"/>
          <w:lang w:val="en-GB"/>
        </w:rPr>
        <w:t xml:space="preserve"> V (Chi-squared). N = Sample size; SD = Standard deviation; ESRD = End-stage renal disease; HD = Haemodialysis.</w:t>
      </w:r>
    </w:p>
    <w:p w14:paraId="425A80EF" w14:textId="5F55D46B" w:rsidR="0063310B" w:rsidRPr="00577052" w:rsidRDefault="0063310B" w:rsidP="00577052">
      <w:pPr>
        <w:spacing w:line="480" w:lineRule="auto"/>
        <w:contextualSpacing/>
        <w:rPr>
          <w:b/>
          <w:bCs/>
          <w:lang w:val="en-GB"/>
        </w:rPr>
      </w:pPr>
      <w:r w:rsidRPr="00577052">
        <w:rPr>
          <w:b/>
          <w:bCs/>
          <w:lang w:val="en-GB"/>
        </w:rPr>
        <w:t xml:space="preserve">Differences between trajectories in </w:t>
      </w:r>
      <w:r w:rsidR="00543561" w:rsidRPr="00577052">
        <w:rPr>
          <w:b/>
          <w:bCs/>
          <w:lang w:val="en-GB"/>
        </w:rPr>
        <w:t xml:space="preserve">clinical and patient-reported </w:t>
      </w:r>
      <w:r w:rsidRPr="00577052">
        <w:rPr>
          <w:b/>
          <w:bCs/>
          <w:lang w:val="en-GB"/>
        </w:rPr>
        <w:t>outcomes</w:t>
      </w:r>
    </w:p>
    <w:p w14:paraId="547D32BC" w14:textId="4623CB8B" w:rsidR="002C1ABC" w:rsidRPr="00577052" w:rsidRDefault="003D5ACB" w:rsidP="00577052">
      <w:pPr>
        <w:spacing w:line="480" w:lineRule="auto"/>
        <w:contextualSpacing/>
        <w:rPr>
          <w:lang w:val="en-GB"/>
        </w:rPr>
      </w:pPr>
      <w:r w:rsidRPr="00577052">
        <w:rPr>
          <w:lang w:val="en-GB"/>
        </w:rPr>
        <w:t xml:space="preserve">A series of 4 (trajectory groups) </w:t>
      </w:r>
      <w:r w:rsidRPr="00577052">
        <w:rPr>
          <w:lang w:val="en-GB"/>
        </w:rPr>
        <w:sym w:font="Symbol" w:char="F0B4"/>
      </w:r>
      <w:r w:rsidRPr="00577052">
        <w:rPr>
          <w:lang w:val="en-GB"/>
        </w:rPr>
        <w:t xml:space="preserve"> 2 (time) mixed ANOVAs were performed to examine </w:t>
      </w:r>
      <w:r w:rsidR="004767C8">
        <w:rPr>
          <w:lang w:val="en-GB"/>
        </w:rPr>
        <w:t xml:space="preserve">longitudinal </w:t>
      </w:r>
      <w:r w:rsidRPr="00577052">
        <w:rPr>
          <w:lang w:val="en-GB"/>
        </w:rPr>
        <w:t>changes in clinical (i.e., serum phosph</w:t>
      </w:r>
      <w:r w:rsidR="008D7ED6" w:rsidRPr="00577052">
        <w:rPr>
          <w:lang w:val="en-GB"/>
        </w:rPr>
        <w:t>orus</w:t>
      </w:r>
      <w:r w:rsidRPr="00577052">
        <w:rPr>
          <w:lang w:val="en-GB"/>
        </w:rPr>
        <w:t>, serum potassium, Ca</w:t>
      </w:r>
      <w:r w:rsidR="008D7ED6" w:rsidRPr="00577052">
        <w:rPr>
          <w:lang w:val="en-GB"/>
        </w:rPr>
        <w:t xml:space="preserve"> </w:t>
      </w:r>
      <w:r w:rsidR="008D7ED6" w:rsidRPr="00577052">
        <w:rPr>
          <w:lang w:val="en-GB"/>
        </w:rPr>
        <w:sym w:font="Symbol" w:char="F0B4"/>
      </w:r>
      <w:r w:rsidR="008D7ED6" w:rsidRPr="00577052">
        <w:rPr>
          <w:lang w:val="en-GB"/>
        </w:rPr>
        <w:t xml:space="preserve"> </w:t>
      </w:r>
      <w:r w:rsidRPr="00577052">
        <w:rPr>
          <w:lang w:val="en-GB"/>
        </w:rPr>
        <w:t xml:space="preserve">PO4, and </w:t>
      </w:r>
      <w:proofErr w:type="spellStart"/>
      <w:r w:rsidRPr="00577052">
        <w:rPr>
          <w:lang w:val="en-GB"/>
        </w:rPr>
        <w:t>IDWGr</w:t>
      </w:r>
      <w:proofErr w:type="spellEnd"/>
      <w:r w:rsidRPr="00577052">
        <w:rPr>
          <w:lang w:val="en-GB"/>
        </w:rPr>
        <w:t xml:space="preserve">) and patient-reported outcomes (i.e., self-efficacy, </w:t>
      </w:r>
      <w:r w:rsidR="00B4286A" w:rsidRPr="00577052">
        <w:rPr>
          <w:lang w:val="en-GB"/>
        </w:rPr>
        <w:t xml:space="preserve">self-management skills, </w:t>
      </w:r>
      <w:r w:rsidRPr="00577052">
        <w:rPr>
          <w:lang w:val="en-GB"/>
        </w:rPr>
        <w:t>treatment adherence, and mood) across the four trajectory groups</w:t>
      </w:r>
      <w:r w:rsidR="00D5291A" w:rsidRPr="00577052">
        <w:rPr>
          <w:lang w:val="en-GB"/>
        </w:rPr>
        <w:t xml:space="preserve"> (see Table </w:t>
      </w:r>
      <w:r w:rsidR="00354EED">
        <w:rPr>
          <w:lang w:val="en-GB"/>
        </w:rPr>
        <w:t>2</w:t>
      </w:r>
      <w:r w:rsidR="00FD3272">
        <w:rPr>
          <w:lang w:val="en-GB"/>
        </w:rPr>
        <w:t xml:space="preserve"> and Figures 1-4</w:t>
      </w:r>
      <w:r w:rsidR="00D5291A" w:rsidRPr="00577052">
        <w:rPr>
          <w:lang w:val="en-GB"/>
        </w:rPr>
        <w:t>)</w:t>
      </w:r>
      <w:r w:rsidRPr="00577052">
        <w:rPr>
          <w:lang w:val="en-GB"/>
        </w:rPr>
        <w:t xml:space="preserve">. </w:t>
      </w:r>
      <w:r w:rsidR="00D82528" w:rsidRPr="00577052">
        <w:rPr>
          <w:lang w:val="en-GB"/>
        </w:rPr>
        <w:t xml:space="preserve">The main effect of time was found to be non-significant in </w:t>
      </w:r>
      <w:r w:rsidR="002B2552" w:rsidRPr="00577052">
        <w:rPr>
          <w:lang w:val="en-GB"/>
        </w:rPr>
        <w:t>all</w:t>
      </w:r>
      <w:r w:rsidR="0097758A" w:rsidRPr="00577052">
        <w:rPr>
          <w:lang w:val="en-GB"/>
        </w:rPr>
        <w:t xml:space="preserve"> mixed</w:t>
      </w:r>
      <w:r w:rsidR="00D82528" w:rsidRPr="00577052">
        <w:rPr>
          <w:lang w:val="en-GB"/>
        </w:rPr>
        <w:t xml:space="preserve"> ANOVAs</w:t>
      </w:r>
      <w:r w:rsidR="00C82F26" w:rsidRPr="00577052">
        <w:rPr>
          <w:lang w:val="en-GB"/>
        </w:rPr>
        <w:t xml:space="preserve">, indicating that </w:t>
      </w:r>
      <w:r w:rsidR="00A167AE" w:rsidRPr="00577052">
        <w:rPr>
          <w:lang w:val="en-GB"/>
        </w:rPr>
        <w:lastRenderedPageBreak/>
        <w:t>overall</w:t>
      </w:r>
      <w:r w:rsidR="00926940" w:rsidRPr="00577052">
        <w:rPr>
          <w:lang w:val="en-GB"/>
        </w:rPr>
        <w:t>,</w:t>
      </w:r>
      <w:r w:rsidR="00A167AE" w:rsidRPr="00577052">
        <w:rPr>
          <w:lang w:val="en-GB"/>
        </w:rPr>
        <w:t xml:space="preserve"> there was no change in </w:t>
      </w:r>
      <w:r w:rsidR="00C82F26" w:rsidRPr="00577052">
        <w:rPr>
          <w:lang w:val="en-GB"/>
        </w:rPr>
        <w:t xml:space="preserve">clinical </w:t>
      </w:r>
      <w:r w:rsidR="00ED7F81" w:rsidRPr="00577052">
        <w:rPr>
          <w:lang w:val="en-GB"/>
        </w:rPr>
        <w:t>or</w:t>
      </w:r>
      <w:r w:rsidR="00C82F26" w:rsidRPr="00577052">
        <w:rPr>
          <w:lang w:val="en-GB"/>
        </w:rPr>
        <w:t xml:space="preserve"> patient-reported outcomes </w:t>
      </w:r>
      <w:r w:rsidR="00422843" w:rsidRPr="00577052">
        <w:rPr>
          <w:lang w:val="en-GB"/>
        </w:rPr>
        <w:t>from baseline to follow-up.</w:t>
      </w:r>
    </w:p>
    <w:p w14:paraId="5CC1CB55" w14:textId="534F398C" w:rsidR="001D1AF1" w:rsidRPr="00577052" w:rsidRDefault="00A45621" w:rsidP="00577052">
      <w:pPr>
        <w:spacing w:line="480" w:lineRule="auto"/>
        <w:contextualSpacing/>
        <w:rPr>
          <w:lang w:val="en-GB"/>
        </w:rPr>
      </w:pPr>
      <w:r w:rsidRPr="00577052">
        <w:rPr>
          <w:b/>
          <w:bCs/>
          <w:lang w:val="en-GB"/>
        </w:rPr>
        <w:t>Clinical outcomes.</w:t>
      </w:r>
      <w:r w:rsidR="002E1F47" w:rsidRPr="00577052">
        <w:rPr>
          <w:lang w:val="en-GB"/>
        </w:rPr>
        <w:t xml:space="preserve"> The ANOVAs on serum potassium and </w:t>
      </w:r>
      <w:proofErr w:type="spellStart"/>
      <w:r w:rsidR="002E1F47" w:rsidRPr="00577052">
        <w:rPr>
          <w:lang w:val="en-GB"/>
        </w:rPr>
        <w:t>IDWGr</w:t>
      </w:r>
      <w:proofErr w:type="spellEnd"/>
      <w:r w:rsidR="002E1F47" w:rsidRPr="00577052">
        <w:rPr>
          <w:lang w:val="en-GB"/>
        </w:rPr>
        <w:t xml:space="preserve"> showed no significant main effect or interaction. </w:t>
      </w:r>
      <w:r w:rsidR="00F1551F" w:rsidRPr="00577052">
        <w:rPr>
          <w:lang w:val="en-GB"/>
        </w:rPr>
        <w:t>However, a significant interaction was found for serum phosph</w:t>
      </w:r>
      <w:r w:rsidR="00CF3D11" w:rsidRPr="00577052">
        <w:rPr>
          <w:lang w:val="en-GB"/>
        </w:rPr>
        <w:t>orus</w:t>
      </w:r>
      <w:r w:rsidR="008F0246">
        <w:rPr>
          <w:lang w:val="en-GB"/>
        </w:rPr>
        <w:t xml:space="preserve"> (see Figure 1)</w:t>
      </w:r>
      <w:r w:rsidR="00645942" w:rsidRPr="00577052">
        <w:rPr>
          <w:lang w:val="en-GB"/>
        </w:rPr>
        <w:t>.</w:t>
      </w:r>
      <w:r w:rsidR="0081042D" w:rsidRPr="00577052">
        <w:rPr>
          <w:lang w:val="en-GB"/>
        </w:rPr>
        <w:t xml:space="preserve"> Post-hoc comparisons showed that </w:t>
      </w:r>
      <w:r w:rsidR="00157723" w:rsidRPr="00577052">
        <w:rPr>
          <w:lang w:val="en-GB"/>
        </w:rPr>
        <w:t>serum phosph</w:t>
      </w:r>
      <w:r w:rsidR="00D977C3" w:rsidRPr="00577052">
        <w:rPr>
          <w:lang w:val="en-GB"/>
        </w:rPr>
        <w:t>orus</w:t>
      </w:r>
      <w:r w:rsidR="00DF6BCF">
        <w:rPr>
          <w:lang w:val="en-GB"/>
        </w:rPr>
        <w:t xml:space="preserve"> </w:t>
      </w:r>
      <w:r w:rsidR="00157723" w:rsidRPr="00577052">
        <w:rPr>
          <w:lang w:val="en-GB"/>
        </w:rPr>
        <w:t xml:space="preserve">decreased </w:t>
      </w:r>
      <w:r w:rsidR="00BE21E7">
        <w:rPr>
          <w:lang w:val="en-GB"/>
        </w:rPr>
        <w:t>significantly</w:t>
      </w:r>
      <w:r w:rsidR="00BE21E7" w:rsidRPr="00577052">
        <w:rPr>
          <w:lang w:val="en-GB"/>
        </w:rPr>
        <w:t xml:space="preserve"> </w:t>
      </w:r>
      <w:r w:rsidR="00073828" w:rsidRPr="00577052">
        <w:rPr>
          <w:lang w:val="en-GB"/>
        </w:rPr>
        <w:t xml:space="preserve">from baseline to follow-up in the recovery group, </w:t>
      </w:r>
      <w:r w:rsidR="005A0259" w:rsidRPr="00577052">
        <w:rPr>
          <w:i/>
          <w:iCs/>
          <w:lang w:val="en-GB"/>
        </w:rPr>
        <w:t>t</w:t>
      </w:r>
      <w:r w:rsidR="005A0259" w:rsidRPr="00577052">
        <w:rPr>
          <w:lang w:val="en-GB"/>
        </w:rPr>
        <w:t xml:space="preserve">(19) = 3.18, </w:t>
      </w:r>
      <w:r w:rsidR="005A0259" w:rsidRPr="00577052">
        <w:rPr>
          <w:i/>
          <w:iCs/>
          <w:lang w:val="en-GB"/>
        </w:rPr>
        <w:t>p</w:t>
      </w:r>
      <w:r w:rsidR="005A0259" w:rsidRPr="00577052">
        <w:rPr>
          <w:lang w:val="en-GB"/>
        </w:rPr>
        <w:t xml:space="preserve"> = .</w:t>
      </w:r>
      <w:r w:rsidR="00295A6D" w:rsidRPr="00577052">
        <w:rPr>
          <w:lang w:val="en-GB"/>
        </w:rPr>
        <w:t>005</w:t>
      </w:r>
      <w:r w:rsidR="005A0259" w:rsidRPr="00577052">
        <w:rPr>
          <w:lang w:val="en-GB"/>
        </w:rPr>
        <w:t xml:space="preserve">, </w:t>
      </w:r>
      <w:r w:rsidR="005A0259" w:rsidRPr="00577052">
        <w:rPr>
          <w:i/>
          <w:iCs/>
          <w:lang w:val="en-GB"/>
        </w:rPr>
        <w:t>d</w:t>
      </w:r>
      <w:r w:rsidR="005A0259" w:rsidRPr="00577052">
        <w:rPr>
          <w:lang w:val="en-GB"/>
        </w:rPr>
        <w:t xml:space="preserve"> = 0.</w:t>
      </w:r>
      <w:r w:rsidR="0015173D" w:rsidRPr="00577052">
        <w:rPr>
          <w:lang w:val="en-GB"/>
        </w:rPr>
        <w:t>71</w:t>
      </w:r>
      <w:r w:rsidR="00A657E1" w:rsidRPr="00577052">
        <w:rPr>
          <w:lang w:val="en-GB"/>
        </w:rPr>
        <w:t xml:space="preserve">, </w:t>
      </w:r>
      <w:r w:rsidR="00157723" w:rsidRPr="00577052">
        <w:rPr>
          <w:lang w:val="en-GB"/>
        </w:rPr>
        <w:t>but remained unchanged in</w:t>
      </w:r>
      <w:r w:rsidR="00A657E1" w:rsidRPr="00577052">
        <w:rPr>
          <w:lang w:val="en-GB"/>
        </w:rPr>
        <w:t xml:space="preserve"> the other three groups</w:t>
      </w:r>
      <w:r w:rsidR="001D5A29" w:rsidRPr="00577052">
        <w:rPr>
          <w:lang w:val="en-GB"/>
        </w:rPr>
        <w:t>.</w:t>
      </w:r>
      <w:r w:rsidR="00A20DCD" w:rsidRPr="00577052">
        <w:rPr>
          <w:lang w:val="en-GB"/>
        </w:rPr>
        <w:t xml:space="preserve"> </w:t>
      </w:r>
      <w:r w:rsidR="00BC464D" w:rsidRPr="00577052">
        <w:rPr>
          <w:lang w:val="en-GB"/>
        </w:rPr>
        <w:t>Although</w:t>
      </w:r>
      <w:r w:rsidR="00A20DCD" w:rsidRPr="00577052">
        <w:rPr>
          <w:lang w:val="en-GB"/>
        </w:rPr>
        <w:t xml:space="preserve"> </w:t>
      </w:r>
      <w:r w:rsidR="0089482D" w:rsidRPr="00577052">
        <w:rPr>
          <w:lang w:val="en-GB"/>
        </w:rPr>
        <w:t>there was no difference between groups in serum phosph</w:t>
      </w:r>
      <w:r w:rsidR="0022076F" w:rsidRPr="00577052">
        <w:rPr>
          <w:lang w:val="en-GB"/>
        </w:rPr>
        <w:t>orus</w:t>
      </w:r>
      <w:r w:rsidR="0089482D" w:rsidRPr="00577052">
        <w:rPr>
          <w:lang w:val="en-GB"/>
        </w:rPr>
        <w:t xml:space="preserve"> at baseline, </w:t>
      </w:r>
      <w:r w:rsidR="00CB57E0" w:rsidRPr="00577052">
        <w:rPr>
          <w:lang w:val="en-GB"/>
        </w:rPr>
        <w:t>the recovery group</w:t>
      </w:r>
      <w:r w:rsidR="00D27678" w:rsidRPr="00577052">
        <w:rPr>
          <w:lang w:val="en-GB"/>
        </w:rPr>
        <w:t xml:space="preserve"> </w:t>
      </w:r>
      <w:r w:rsidR="00CB57E0" w:rsidRPr="00577052">
        <w:rPr>
          <w:lang w:val="en-GB"/>
        </w:rPr>
        <w:t xml:space="preserve">had significantly lower serum </w:t>
      </w:r>
      <w:r w:rsidR="005B2339" w:rsidRPr="00577052">
        <w:rPr>
          <w:lang w:val="en-GB"/>
        </w:rPr>
        <w:t>phosphorus</w:t>
      </w:r>
      <w:r w:rsidR="00CB57E0" w:rsidRPr="00577052">
        <w:rPr>
          <w:lang w:val="en-GB"/>
        </w:rPr>
        <w:t xml:space="preserve"> than the deterioration group at follow-up</w:t>
      </w:r>
      <w:r w:rsidR="00327E1E" w:rsidRPr="00577052">
        <w:rPr>
          <w:lang w:val="en-GB"/>
        </w:rPr>
        <w:t xml:space="preserve">, </w:t>
      </w:r>
      <w:r w:rsidR="00327E1E" w:rsidRPr="00577052">
        <w:rPr>
          <w:i/>
          <w:iCs/>
          <w:lang w:val="en-GB"/>
        </w:rPr>
        <w:t>t</w:t>
      </w:r>
      <w:r w:rsidR="00327E1E" w:rsidRPr="00577052">
        <w:rPr>
          <w:lang w:val="en-GB"/>
        </w:rPr>
        <w:t xml:space="preserve">(43.92) = 3.61, </w:t>
      </w:r>
      <w:r w:rsidR="00327E1E" w:rsidRPr="00577052">
        <w:rPr>
          <w:i/>
          <w:iCs/>
          <w:lang w:val="en-GB"/>
        </w:rPr>
        <w:t>p</w:t>
      </w:r>
      <w:r w:rsidR="00327E1E" w:rsidRPr="00577052">
        <w:rPr>
          <w:lang w:val="en-GB"/>
        </w:rPr>
        <w:t xml:space="preserve"> &lt; .001, </w:t>
      </w:r>
      <w:r w:rsidR="00327E1E" w:rsidRPr="00577052">
        <w:rPr>
          <w:i/>
          <w:iCs/>
          <w:lang w:val="en-GB"/>
        </w:rPr>
        <w:t>d</w:t>
      </w:r>
      <w:r w:rsidR="00327E1E" w:rsidRPr="00577052">
        <w:rPr>
          <w:lang w:val="en-GB"/>
        </w:rPr>
        <w:t xml:space="preserve"> = </w:t>
      </w:r>
      <w:r w:rsidR="005A2EAE" w:rsidRPr="00577052">
        <w:rPr>
          <w:lang w:val="en-GB"/>
        </w:rPr>
        <w:t>1.00</w:t>
      </w:r>
      <w:r w:rsidR="00CB57E0" w:rsidRPr="00577052">
        <w:rPr>
          <w:lang w:val="en-GB"/>
        </w:rPr>
        <w:t>.</w:t>
      </w:r>
    </w:p>
    <w:p w14:paraId="70E72EB2" w14:textId="112B696C" w:rsidR="00A45621" w:rsidRDefault="00DC6A95" w:rsidP="00577052">
      <w:pPr>
        <w:spacing w:line="480" w:lineRule="auto"/>
        <w:ind w:firstLine="567"/>
        <w:contextualSpacing/>
        <w:rPr>
          <w:lang w:val="en-GB"/>
        </w:rPr>
      </w:pPr>
      <w:r w:rsidRPr="00577052">
        <w:rPr>
          <w:lang w:val="en-GB"/>
        </w:rPr>
        <w:t>Similarly, there was a significant interaction for Ca</w:t>
      </w:r>
      <w:r w:rsidR="0083399E" w:rsidRPr="00577052">
        <w:rPr>
          <w:lang w:val="en-GB"/>
        </w:rPr>
        <w:t xml:space="preserve"> </w:t>
      </w:r>
      <w:r w:rsidR="0083399E" w:rsidRPr="00577052">
        <w:rPr>
          <w:lang w:val="en-GB"/>
        </w:rPr>
        <w:sym w:font="Symbol" w:char="F0B4"/>
      </w:r>
      <w:r w:rsidR="001D0A75" w:rsidRPr="00577052">
        <w:rPr>
          <w:lang w:val="en-GB"/>
        </w:rPr>
        <w:t xml:space="preserve"> </w:t>
      </w:r>
      <w:r w:rsidRPr="00577052">
        <w:rPr>
          <w:lang w:val="en-GB"/>
        </w:rPr>
        <w:t>PO4</w:t>
      </w:r>
      <w:r w:rsidR="00013FA9">
        <w:rPr>
          <w:lang w:val="en-GB"/>
        </w:rPr>
        <w:t xml:space="preserve"> (see Figure 1)</w:t>
      </w:r>
      <w:r w:rsidRPr="00577052">
        <w:rPr>
          <w:lang w:val="en-GB"/>
        </w:rPr>
        <w:t xml:space="preserve">. Post-hoc comparisons showed that </w:t>
      </w:r>
      <w:r w:rsidR="00D2790E" w:rsidRPr="00577052">
        <w:rPr>
          <w:lang w:val="en-GB"/>
        </w:rPr>
        <w:t>Ca</w:t>
      </w:r>
      <w:r w:rsidR="004A2BE1" w:rsidRPr="00577052">
        <w:rPr>
          <w:lang w:val="en-GB"/>
        </w:rPr>
        <w:t xml:space="preserve"> </w:t>
      </w:r>
      <w:r w:rsidR="004A2BE1" w:rsidRPr="00577052">
        <w:rPr>
          <w:lang w:val="en-GB"/>
        </w:rPr>
        <w:sym w:font="Symbol" w:char="F0B4"/>
      </w:r>
      <w:r w:rsidR="004A2BE1" w:rsidRPr="00577052">
        <w:rPr>
          <w:lang w:val="en-GB"/>
        </w:rPr>
        <w:t xml:space="preserve"> </w:t>
      </w:r>
      <w:r w:rsidR="00D2790E" w:rsidRPr="00577052">
        <w:rPr>
          <w:lang w:val="en-GB"/>
        </w:rPr>
        <w:t>PO4 decreased</w:t>
      </w:r>
      <w:r w:rsidR="00461964" w:rsidRPr="00577052">
        <w:rPr>
          <w:lang w:val="en-GB"/>
        </w:rPr>
        <w:t xml:space="preserve"> </w:t>
      </w:r>
      <w:r w:rsidR="0039037E">
        <w:rPr>
          <w:lang w:val="en-GB"/>
        </w:rPr>
        <w:t xml:space="preserve">significantly </w:t>
      </w:r>
      <w:r w:rsidR="00375328" w:rsidRPr="00577052">
        <w:rPr>
          <w:lang w:val="en-GB"/>
        </w:rPr>
        <w:t>fr</w:t>
      </w:r>
      <w:r w:rsidR="00461964" w:rsidRPr="00577052">
        <w:rPr>
          <w:lang w:val="en-GB"/>
        </w:rPr>
        <w:t xml:space="preserve">om baseline to follow-up in the recovery group, </w:t>
      </w:r>
      <w:r w:rsidR="00461964" w:rsidRPr="00577052">
        <w:rPr>
          <w:i/>
          <w:iCs/>
          <w:lang w:val="en-GB"/>
        </w:rPr>
        <w:t>t</w:t>
      </w:r>
      <w:r w:rsidR="00461964" w:rsidRPr="00577052">
        <w:rPr>
          <w:lang w:val="en-GB"/>
        </w:rPr>
        <w:t>(19) = 3</w:t>
      </w:r>
      <w:r w:rsidR="006E066A" w:rsidRPr="00577052">
        <w:rPr>
          <w:lang w:val="en-GB"/>
        </w:rPr>
        <w:t>.45</w:t>
      </w:r>
      <w:r w:rsidR="00461964" w:rsidRPr="00577052">
        <w:rPr>
          <w:lang w:val="en-GB"/>
        </w:rPr>
        <w:t xml:space="preserve">, </w:t>
      </w:r>
      <w:r w:rsidR="00461964" w:rsidRPr="00577052">
        <w:rPr>
          <w:i/>
          <w:iCs/>
          <w:lang w:val="en-GB"/>
        </w:rPr>
        <w:t>p</w:t>
      </w:r>
      <w:r w:rsidR="00461964" w:rsidRPr="00577052">
        <w:rPr>
          <w:lang w:val="en-GB"/>
        </w:rPr>
        <w:t xml:space="preserve"> = .00</w:t>
      </w:r>
      <w:r w:rsidR="006E066A" w:rsidRPr="00577052">
        <w:rPr>
          <w:lang w:val="en-GB"/>
        </w:rPr>
        <w:t>3</w:t>
      </w:r>
      <w:r w:rsidR="00461964" w:rsidRPr="00577052">
        <w:rPr>
          <w:lang w:val="en-GB"/>
        </w:rPr>
        <w:t xml:space="preserve">, </w:t>
      </w:r>
      <w:r w:rsidR="00461964" w:rsidRPr="00577052">
        <w:rPr>
          <w:i/>
          <w:iCs/>
          <w:lang w:val="en-GB"/>
        </w:rPr>
        <w:t>d</w:t>
      </w:r>
      <w:r w:rsidR="00461964" w:rsidRPr="00577052">
        <w:rPr>
          <w:lang w:val="en-GB"/>
        </w:rPr>
        <w:t xml:space="preserve"> = 0.7</w:t>
      </w:r>
      <w:r w:rsidR="006E066A" w:rsidRPr="00577052">
        <w:rPr>
          <w:lang w:val="en-GB"/>
        </w:rPr>
        <w:t>7</w:t>
      </w:r>
      <w:r w:rsidR="00FD08BA" w:rsidRPr="00577052">
        <w:rPr>
          <w:lang w:val="en-GB"/>
        </w:rPr>
        <w:t>,</w:t>
      </w:r>
      <w:r w:rsidR="009C3A18" w:rsidRPr="00577052">
        <w:rPr>
          <w:lang w:val="en-GB"/>
        </w:rPr>
        <w:t xml:space="preserve"> </w:t>
      </w:r>
      <w:r w:rsidR="00FD08BA" w:rsidRPr="00577052">
        <w:rPr>
          <w:lang w:val="en-GB"/>
        </w:rPr>
        <w:t>whereas t</w:t>
      </w:r>
      <w:r w:rsidR="009C3A18" w:rsidRPr="00577052">
        <w:rPr>
          <w:lang w:val="en-GB"/>
        </w:rPr>
        <w:t>he other three groups showed no difference between time points.</w:t>
      </w:r>
      <w:r w:rsidR="00BC464D" w:rsidRPr="00577052">
        <w:rPr>
          <w:lang w:val="en-GB"/>
        </w:rPr>
        <w:t xml:space="preserve"> Although there was no difference between groups in </w:t>
      </w:r>
      <w:r w:rsidR="001B5FA7" w:rsidRPr="00577052">
        <w:rPr>
          <w:lang w:val="en-GB"/>
        </w:rPr>
        <w:t xml:space="preserve">Ca </w:t>
      </w:r>
      <w:r w:rsidR="001B5FA7" w:rsidRPr="00577052">
        <w:rPr>
          <w:lang w:val="en-GB"/>
        </w:rPr>
        <w:sym w:font="Symbol" w:char="F0B4"/>
      </w:r>
      <w:r w:rsidR="001B5FA7" w:rsidRPr="00577052">
        <w:rPr>
          <w:lang w:val="en-GB"/>
        </w:rPr>
        <w:t xml:space="preserve"> PO4 </w:t>
      </w:r>
      <w:r w:rsidR="00BC464D" w:rsidRPr="00577052">
        <w:rPr>
          <w:lang w:val="en-GB"/>
        </w:rPr>
        <w:t xml:space="preserve">at baseline, the recovery group had significantly lower </w:t>
      </w:r>
      <w:r w:rsidR="001B5FA7" w:rsidRPr="00577052">
        <w:rPr>
          <w:lang w:val="en-GB"/>
        </w:rPr>
        <w:t xml:space="preserve">Ca </w:t>
      </w:r>
      <w:r w:rsidR="001B5FA7" w:rsidRPr="00577052">
        <w:rPr>
          <w:lang w:val="en-GB"/>
        </w:rPr>
        <w:sym w:font="Symbol" w:char="F0B4"/>
      </w:r>
      <w:r w:rsidR="001B5FA7" w:rsidRPr="00577052">
        <w:rPr>
          <w:lang w:val="en-GB"/>
        </w:rPr>
        <w:t xml:space="preserve"> PO4 </w:t>
      </w:r>
      <w:r w:rsidR="00BC464D" w:rsidRPr="00577052">
        <w:rPr>
          <w:lang w:val="en-GB"/>
        </w:rPr>
        <w:t xml:space="preserve">than the deterioration group at follow-up, </w:t>
      </w:r>
      <w:r w:rsidR="00BC464D" w:rsidRPr="00577052">
        <w:rPr>
          <w:i/>
          <w:iCs/>
          <w:lang w:val="en-GB"/>
        </w:rPr>
        <w:t>t</w:t>
      </w:r>
      <w:r w:rsidR="00BC464D" w:rsidRPr="00577052">
        <w:rPr>
          <w:lang w:val="en-GB"/>
        </w:rPr>
        <w:t>(</w:t>
      </w:r>
      <w:r w:rsidR="008A04A4" w:rsidRPr="00577052">
        <w:rPr>
          <w:lang w:val="en-GB"/>
        </w:rPr>
        <w:t>44</w:t>
      </w:r>
      <w:r w:rsidR="00BC464D" w:rsidRPr="00577052">
        <w:rPr>
          <w:lang w:val="en-GB"/>
        </w:rPr>
        <w:t>.</w:t>
      </w:r>
      <w:r w:rsidR="008A04A4" w:rsidRPr="00577052">
        <w:rPr>
          <w:lang w:val="en-GB"/>
        </w:rPr>
        <w:t>63</w:t>
      </w:r>
      <w:r w:rsidR="00BC464D" w:rsidRPr="00577052">
        <w:rPr>
          <w:lang w:val="en-GB"/>
        </w:rPr>
        <w:t xml:space="preserve">) = </w:t>
      </w:r>
      <w:r w:rsidR="008A04A4" w:rsidRPr="00577052">
        <w:rPr>
          <w:lang w:val="en-GB"/>
        </w:rPr>
        <w:t>2.96</w:t>
      </w:r>
      <w:r w:rsidR="00BC464D" w:rsidRPr="00577052">
        <w:rPr>
          <w:lang w:val="en-GB"/>
        </w:rPr>
        <w:t xml:space="preserve">, </w:t>
      </w:r>
      <w:r w:rsidR="00BC464D" w:rsidRPr="00577052">
        <w:rPr>
          <w:i/>
          <w:iCs/>
          <w:lang w:val="en-GB"/>
        </w:rPr>
        <w:t>p</w:t>
      </w:r>
      <w:r w:rsidR="00BC464D" w:rsidRPr="00577052">
        <w:rPr>
          <w:lang w:val="en-GB"/>
        </w:rPr>
        <w:t xml:space="preserve"> </w:t>
      </w:r>
      <w:r w:rsidR="008A04A4" w:rsidRPr="00577052">
        <w:rPr>
          <w:lang w:val="en-GB"/>
        </w:rPr>
        <w:t>=</w:t>
      </w:r>
      <w:r w:rsidR="00BC464D" w:rsidRPr="00577052">
        <w:rPr>
          <w:lang w:val="en-GB"/>
        </w:rPr>
        <w:t xml:space="preserve"> .00</w:t>
      </w:r>
      <w:r w:rsidR="008A04A4" w:rsidRPr="00577052">
        <w:rPr>
          <w:lang w:val="en-GB"/>
        </w:rPr>
        <w:t>5</w:t>
      </w:r>
      <w:r w:rsidR="00BC464D" w:rsidRPr="00577052">
        <w:rPr>
          <w:lang w:val="en-GB"/>
        </w:rPr>
        <w:t xml:space="preserve">, </w:t>
      </w:r>
      <w:r w:rsidR="00BC464D" w:rsidRPr="00577052">
        <w:rPr>
          <w:i/>
          <w:iCs/>
          <w:lang w:val="en-GB"/>
        </w:rPr>
        <w:t>d</w:t>
      </w:r>
      <w:r w:rsidR="00BC464D" w:rsidRPr="00577052">
        <w:rPr>
          <w:lang w:val="en-GB"/>
        </w:rPr>
        <w:t xml:space="preserve"> = </w:t>
      </w:r>
      <w:r w:rsidR="002C3284" w:rsidRPr="00577052">
        <w:rPr>
          <w:lang w:val="en-GB"/>
        </w:rPr>
        <w:t>0.82</w:t>
      </w:r>
      <w:r w:rsidR="00BC464D" w:rsidRPr="00577052">
        <w:rPr>
          <w:lang w:val="en-GB"/>
        </w:rPr>
        <w:t>.</w:t>
      </w:r>
    </w:p>
    <w:p w14:paraId="497811D3" w14:textId="53A65923" w:rsidR="003A5C0D" w:rsidRDefault="003A5C0D" w:rsidP="003A5C0D">
      <w:pPr>
        <w:spacing w:line="480" w:lineRule="auto"/>
        <w:contextualSpacing/>
        <w:rPr>
          <w:lang w:val="en-GB"/>
        </w:rPr>
      </w:pPr>
      <w:r>
        <w:rPr>
          <w:noProof/>
          <w:lang w:val="en-GB"/>
        </w:rPr>
        <w:drawing>
          <wp:inline distT="0" distB="0" distL="0" distR="0" wp14:anchorId="4203C218" wp14:editId="07E043B4">
            <wp:extent cx="5727700" cy="2135505"/>
            <wp:effectExtent l="0" t="0" r="0" b="0"/>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2135505"/>
                    </a:xfrm>
                    <a:prstGeom prst="rect">
                      <a:avLst/>
                    </a:prstGeom>
                  </pic:spPr>
                </pic:pic>
              </a:graphicData>
            </a:graphic>
          </wp:inline>
        </w:drawing>
      </w:r>
    </w:p>
    <w:p w14:paraId="2FB668FC" w14:textId="121DBEFF" w:rsidR="00A50977" w:rsidRPr="006963A7" w:rsidRDefault="00A50977" w:rsidP="003A5C0D">
      <w:pPr>
        <w:spacing w:line="480" w:lineRule="auto"/>
        <w:contextualSpacing/>
        <w:rPr>
          <w:sz w:val="18"/>
          <w:szCs w:val="18"/>
          <w:lang w:val="en-GB"/>
        </w:rPr>
      </w:pPr>
      <w:r w:rsidRPr="003E0B16">
        <w:rPr>
          <w:i/>
          <w:iCs/>
          <w:sz w:val="18"/>
          <w:szCs w:val="18"/>
          <w:lang w:val="en-GB"/>
        </w:rPr>
        <w:t xml:space="preserve">Figure 1. </w:t>
      </w:r>
      <w:r w:rsidR="00260ED0" w:rsidRPr="006963A7">
        <w:rPr>
          <w:sz w:val="18"/>
          <w:szCs w:val="18"/>
          <w:lang w:val="en-US"/>
        </w:rPr>
        <w:t>Mixed ANOVAs comparing serum phosphorus and calcium-phosphorus product among four trajectory groups across two time points.</w:t>
      </w:r>
    </w:p>
    <w:p w14:paraId="40FE1A1B" w14:textId="7779110B" w:rsidR="00894DE5" w:rsidRPr="00577052" w:rsidRDefault="00A45621" w:rsidP="00577052">
      <w:pPr>
        <w:spacing w:line="480" w:lineRule="auto"/>
        <w:contextualSpacing/>
        <w:rPr>
          <w:color w:val="202124"/>
        </w:rPr>
      </w:pPr>
      <w:r w:rsidRPr="00577052">
        <w:rPr>
          <w:b/>
          <w:bCs/>
          <w:lang w:val="en-GB"/>
        </w:rPr>
        <w:lastRenderedPageBreak/>
        <w:t>Self-efficacy.</w:t>
      </w:r>
      <w:r w:rsidR="000C2D8B" w:rsidRPr="00577052">
        <w:rPr>
          <w:lang w:val="en-GB"/>
        </w:rPr>
        <w:t xml:space="preserve"> The ANOVA on patients’</w:t>
      </w:r>
      <w:r w:rsidR="00A07CFD" w:rsidRPr="00577052">
        <w:rPr>
          <w:lang w:val="en-GB"/>
        </w:rPr>
        <w:t xml:space="preserve"> </w:t>
      </w:r>
      <w:r w:rsidR="000C2D8B" w:rsidRPr="00577052">
        <w:rPr>
          <w:lang w:val="en-GB"/>
        </w:rPr>
        <w:t>disease</w:t>
      </w:r>
      <w:r w:rsidR="00A07CFD" w:rsidRPr="00577052">
        <w:rPr>
          <w:lang w:val="en-GB"/>
        </w:rPr>
        <w:t xml:space="preserve"> self-efficacy</w:t>
      </w:r>
      <w:r w:rsidR="000C2D8B" w:rsidRPr="00577052">
        <w:rPr>
          <w:lang w:val="en-GB"/>
        </w:rPr>
        <w:t xml:space="preserve"> (SEMCD) revealed a significant group effect and a significant interaction</w:t>
      </w:r>
      <w:r w:rsidR="000C5B0B">
        <w:rPr>
          <w:lang w:val="en-GB"/>
        </w:rPr>
        <w:t xml:space="preserve"> (see Figure 2)</w:t>
      </w:r>
      <w:r w:rsidR="000C2D8B" w:rsidRPr="00577052">
        <w:rPr>
          <w:lang w:val="en-GB"/>
        </w:rPr>
        <w:t>.</w:t>
      </w:r>
      <w:r w:rsidR="003D007D" w:rsidRPr="00577052">
        <w:rPr>
          <w:lang w:val="en-GB"/>
        </w:rPr>
        <w:t xml:space="preserve"> Post-hoc comparisons showed that </w:t>
      </w:r>
      <w:r w:rsidR="00496B0E" w:rsidRPr="00577052">
        <w:rPr>
          <w:lang w:val="en-GB"/>
        </w:rPr>
        <w:t>disease self-efficacy</w:t>
      </w:r>
      <w:r w:rsidR="003D007D" w:rsidRPr="00577052">
        <w:rPr>
          <w:lang w:val="en-GB"/>
        </w:rPr>
        <w:t xml:space="preserve"> increased significant</w:t>
      </w:r>
      <w:r w:rsidR="008C37C2" w:rsidRPr="00577052">
        <w:rPr>
          <w:lang w:val="en-GB"/>
        </w:rPr>
        <w:t>ly</w:t>
      </w:r>
      <w:r w:rsidR="003D007D" w:rsidRPr="00577052">
        <w:rPr>
          <w:lang w:val="en-GB"/>
        </w:rPr>
        <w:t xml:space="preserve"> over time in the recovery group, </w:t>
      </w:r>
      <w:r w:rsidR="003D007D" w:rsidRPr="00577052">
        <w:rPr>
          <w:i/>
          <w:iCs/>
          <w:lang w:val="en-GB"/>
        </w:rPr>
        <w:t>t</w:t>
      </w:r>
      <w:r w:rsidR="003D007D" w:rsidRPr="00577052">
        <w:rPr>
          <w:lang w:val="en-GB"/>
        </w:rPr>
        <w:t xml:space="preserve">(20) = -2.62, </w:t>
      </w:r>
      <w:r w:rsidR="003D007D" w:rsidRPr="00577052">
        <w:rPr>
          <w:i/>
          <w:iCs/>
          <w:lang w:val="en-GB"/>
        </w:rPr>
        <w:t>p</w:t>
      </w:r>
      <w:r w:rsidR="003D007D" w:rsidRPr="00577052">
        <w:rPr>
          <w:lang w:val="en-GB"/>
        </w:rPr>
        <w:t xml:space="preserve"> = .0</w:t>
      </w:r>
      <w:r w:rsidR="00BC3EBA" w:rsidRPr="00577052">
        <w:rPr>
          <w:lang w:val="en-GB"/>
        </w:rPr>
        <w:t>16</w:t>
      </w:r>
      <w:r w:rsidR="003D007D" w:rsidRPr="00577052">
        <w:rPr>
          <w:lang w:val="en-GB"/>
        </w:rPr>
        <w:t xml:space="preserve">, </w:t>
      </w:r>
      <w:r w:rsidR="003D007D" w:rsidRPr="00577052">
        <w:rPr>
          <w:i/>
          <w:iCs/>
          <w:lang w:val="en-GB"/>
        </w:rPr>
        <w:t>d</w:t>
      </w:r>
      <w:r w:rsidR="003D007D" w:rsidRPr="00577052">
        <w:rPr>
          <w:lang w:val="en-GB"/>
        </w:rPr>
        <w:t xml:space="preserve"> = 0.</w:t>
      </w:r>
      <w:r w:rsidR="001A4A8F" w:rsidRPr="00577052">
        <w:rPr>
          <w:lang w:val="en-GB"/>
        </w:rPr>
        <w:t>5</w:t>
      </w:r>
      <w:r w:rsidR="003D007D" w:rsidRPr="00577052">
        <w:rPr>
          <w:lang w:val="en-GB"/>
        </w:rPr>
        <w:t>7,</w:t>
      </w:r>
      <w:r w:rsidR="00FD659F" w:rsidRPr="00577052">
        <w:rPr>
          <w:lang w:val="en-GB"/>
        </w:rPr>
        <w:t xml:space="preserve"> but remained unchanged in the other three groups.</w:t>
      </w:r>
      <w:r w:rsidR="008C37C2" w:rsidRPr="00577052">
        <w:rPr>
          <w:lang w:val="en-GB"/>
        </w:rPr>
        <w:t xml:space="preserve"> Also, at baseline, </w:t>
      </w:r>
      <w:r w:rsidR="00170FCB" w:rsidRPr="00577052">
        <w:rPr>
          <w:lang w:val="en-GB"/>
        </w:rPr>
        <w:t xml:space="preserve">the </w:t>
      </w:r>
      <w:r w:rsidR="00992FDF" w:rsidRPr="00577052">
        <w:rPr>
          <w:lang w:val="en-GB"/>
        </w:rPr>
        <w:t xml:space="preserve">resilient group had </w:t>
      </w:r>
      <w:r w:rsidR="00971DDE">
        <w:rPr>
          <w:lang w:val="en-GB"/>
        </w:rPr>
        <w:t xml:space="preserve">significantly </w:t>
      </w:r>
      <w:r w:rsidR="00992FDF" w:rsidRPr="00577052">
        <w:rPr>
          <w:lang w:val="en-GB"/>
        </w:rPr>
        <w:t xml:space="preserve">higher </w:t>
      </w:r>
      <w:r w:rsidR="00496B0E" w:rsidRPr="00577052">
        <w:rPr>
          <w:lang w:val="en-GB"/>
        </w:rPr>
        <w:t>disease self-efficacy</w:t>
      </w:r>
      <w:r w:rsidR="00992FDF" w:rsidRPr="00577052">
        <w:rPr>
          <w:lang w:val="en-GB"/>
        </w:rPr>
        <w:t xml:space="preserve"> than the persistent group, </w:t>
      </w:r>
      <w:r w:rsidR="00992FDF" w:rsidRPr="00577052">
        <w:rPr>
          <w:i/>
          <w:iCs/>
          <w:lang w:val="en-GB"/>
        </w:rPr>
        <w:t>t</w:t>
      </w:r>
      <w:r w:rsidR="00992FDF" w:rsidRPr="00577052">
        <w:rPr>
          <w:lang w:val="en-GB"/>
        </w:rPr>
        <w:t xml:space="preserve">(108) = 4.61, </w:t>
      </w:r>
      <w:r w:rsidR="00992FDF" w:rsidRPr="00577052">
        <w:rPr>
          <w:i/>
          <w:iCs/>
          <w:lang w:val="en-GB"/>
        </w:rPr>
        <w:t>p</w:t>
      </w:r>
      <w:r w:rsidR="00992FDF" w:rsidRPr="00577052">
        <w:rPr>
          <w:lang w:val="en-GB"/>
        </w:rPr>
        <w:t xml:space="preserve"> </w:t>
      </w:r>
      <w:r w:rsidR="00D24066" w:rsidRPr="00577052">
        <w:rPr>
          <w:lang w:val="en-GB"/>
        </w:rPr>
        <w:t>&lt;</w:t>
      </w:r>
      <w:r w:rsidR="00992FDF" w:rsidRPr="00577052">
        <w:rPr>
          <w:lang w:val="en-GB"/>
        </w:rPr>
        <w:t xml:space="preserve"> .0</w:t>
      </w:r>
      <w:r w:rsidR="00D24066" w:rsidRPr="00577052">
        <w:rPr>
          <w:lang w:val="en-GB"/>
        </w:rPr>
        <w:t>01</w:t>
      </w:r>
      <w:r w:rsidR="00992FDF" w:rsidRPr="00577052">
        <w:rPr>
          <w:lang w:val="en-GB"/>
        </w:rPr>
        <w:t xml:space="preserve">, </w:t>
      </w:r>
      <w:r w:rsidR="00992FDF" w:rsidRPr="00577052">
        <w:rPr>
          <w:i/>
          <w:iCs/>
          <w:lang w:val="en-GB"/>
        </w:rPr>
        <w:t>d</w:t>
      </w:r>
      <w:r w:rsidR="00992FDF" w:rsidRPr="00577052">
        <w:rPr>
          <w:lang w:val="en-GB"/>
        </w:rPr>
        <w:t xml:space="preserve"> = </w:t>
      </w:r>
      <w:r w:rsidR="0091520A" w:rsidRPr="00577052">
        <w:rPr>
          <w:lang w:val="en-GB"/>
        </w:rPr>
        <w:t>1.32</w:t>
      </w:r>
      <w:r w:rsidR="00634779" w:rsidRPr="00577052">
        <w:rPr>
          <w:lang w:val="en-GB"/>
        </w:rPr>
        <w:t>. At follow-up,</w:t>
      </w:r>
      <w:r w:rsidR="00AD4736" w:rsidRPr="00577052">
        <w:rPr>
          <w:lang w:val="en-GB"/>
        </w:rPr>
        <w:t xml:space="preserve"> both the resilient and recovery groups had higher </w:t>
      </w:r>
      <w:r w:rsidR="00496B0E" w:rsidRPr="00577052">
        <w:rPr>
          <w:lang w:val="en-GB"/>
        </w:rPr>
        <w:t xml:space="preserve">disease self-efficacy </w:t>
      </w:r>
      <w:r w:rsidR="00AD4736" w:rsidRPr="00577052">
        <w:rPr>
          <w:lang w:val="en-GB"/>
        </w:rPr>
        <w:t>than the</w:t>
      </w:r>
      <w:r w:rsidR="002D3D85" w:rsidRPr="00577052">
        <w:rPr>
          <w:lang w:val="en-GB"/>
        </w:rPr>
        <w:t xml:space="preserve"> persistent and</w:t>
      </w:r>
      <w:r w:rsidR="00AD4736" w:rsidRPr="00577052">
        <w:rPr>
          <w:lang w:val="en-GB"/>
        </w:rPr>
        <w:t xml:space="preserve"> deterioration groups,</w:t>
      </w:r>
      <w:r w:rsidR="00634779" w:rsidRPr="00577052">
        <w:rPr>
          <w:lang w:val="en-GB"/>
        </w:rPr>
        <w:t xml:space="preserve"> </w:t>
      </w:r>
      <w:r w:rsidR="00894DE5" w:rsidRPr="00577052">
        <w:rPr>
          <w:i/>
          <w:iCs/>
          <w:lang w:val="en-GB"/>
        </w:rPr>
        <w:t>F</w:t>
      </w:r>
      <w:r w:rsidR="00894DE5" w:rsidRPr="00577052">
        <w:rPr>
          <w:lang w:val="en-GB"/>
        </w:rPr>
        <w:t>(</w:t>
      </w:r>
      <w:r w:rsidR="00A25A0C" w:rsidRPr="00577052">
        <w:rPr>
          <w:lang w:val="en-GB"/>
        </w:rPr>
        <w:t>3</w:t>
      </w:r>
      <w:r w:rsidR="00894DE5" w:rsidRPr="00577052">
        <w:rPr>
          <w:lang w:val="en-GB"/>
        </w:rPr>
        <w:t xml:space="preserve">, </w:t>
      </w:r>
      <w:r w:rsidR="00A25A0C" w:rsidRPr="00577052">
        <w:rPr>
          <w:lang w:val="en-GB"/>
        </w:rPr>
        <w:t>154</w:t>
      </w:r>
      <w:r w:rsidR="00894DE5" w:rsidRPr="00577052">
        <w:rPr>
          <w:lang w:val="en-GB"/>
        </w:rPr>
        <w:t xml:space="preserve">) = </w:t>
      </w:r>
      <w:r w:rsidR="00A25A0C" w:rsidRPr="00577052">
        <w:rPr>
          <w:lang w:val="en-GB"/>
        </w:rPr>
        <w:t>9.30</w:t>
      </w:r>
      <w:r w:rsidR="00894DE5" w:rsidRPr="00577052">
        <w:rPr>
          <w:lang w:val="en-GB"/>
        </w:rPr>
        <w:t xml:space="preserve">, </w:t>
      </w:r>
      <w:r w:rsidR="00894DE5" w:rsidRPr="00577052">
        <w:rPr>
          <w:i/>
          <w:iCs/>
          <w:lang w:val="en-GB"/>
        </w:rPr>
        <w:t>p</w:t>
      </w:r>
      <w:r w:rsidR="00894DE5" w:rsidRPr="00577052">
        <w:rPr>
          <w:lang w:val="en-GB"/>
        </w:rPr>
        <w:t xml:space="preserve"> </w:t>
      </w:r>
      <w:r w:rsidR="00A25A0C" w:rsidRPr="00577052">
        <w:rPr>
          <w:lang w:val="en-GB"/>
        </w:rPr>
        <w:t>&lt;</w:t>
      </w:r>
      <w:r w:rsidR="00894DE5" w:rsidRPr="00577052">
        <w:rPr>
          <w:lang w:val="en-GB"/>
        </w:rPr>
        <w:t xml:space="preserve"> .0</w:t>
      </w:r>
      <w:r w:rsidR="00A25A0C" w:rsidRPr="00577052">
        <w:rPr>
          <w:lang w:val="en-GB"/>
        </w:rPr>
        <w:t>0</w:t>
      </w:r>
      <w:r w:rsidR="00894DE5" w:rsidRPr="00577052">
        <w:rPr>
          <w:lang w:val="en-GB"/>
        </w:rPr>
        <w:t xml:space="preserve">1, </w:t>
      </w:r>
      <w:r w:rsidR="00894DE5" w:rsidRPr="00577052">
        <w:rPr>
          <w:i/>
          <w:iCs/>
          <w:color w:val="202124"/>
          <w:shd w:val="clear" w:color="auto" w:fill="FFFFFF"/>
        </w:rPr>
        <w:t>η</w:t>
      </w:r>
      <w:r w:rsidR="00894DE5" w:rsidRPr="00577052">
        <w:rPr>
          <w:i/>
          <w:iCs/>
          <w:color w:val="202124"/>
          <w:vertAlign w:val="superscript"/>
        </w:rPr>
        <w:t>2</w:t>
      </w:r>
      <w:r w:rsidR="00894DE5" w:rsidRPr="00577052">
        <w:rPr>
          <w:color w:val="202124"/>
        </w:rPr>
        <w:t xml:space="preserve"> = 0.</w:t>
      </w:r>
      <w:r w:rsidR="00A25A0C" w:rsidRPr="00577052">
        <w:rPr>
          <w:color w:val="202124"/>
        </w:rPr>
        <w:t>15</w:t>
      </w:r>
      <w:r w:rsidR="00AD4736" w:rsidRPr="00577052">
        <w:rPr>
          <w:color w:val="202124"/>
        </w:rPr>
        <w:t>.</w:t>
      </w:r>
    </w:p>
    <w:p w14:paraId="7F7015B3" w14:textId="7B6F2945" w:rsidR="00A45621" w:rsidRDefault="007345BE" w:rsidP="00577052">
      <w:pPr>
        <w:spacing w:line="480" w:lineRule="auto"/>
        <w:ind w:firstLine="567"/>
        <w:contextualSpacing/>
        <w:rPr>
          <w:color w:val="202124"/>
        </w:rPr>
      </w:pPr>
      <w:r w:rsidRPr="00577052">
        <w:rPr>
          <w:color w:val="202124"/>
        </w:rPr>
        <w:t xml:space="preserve">In terms of </w:t>
      </w:r>
      <w:r w:rsidR="00D20B79" w:rsidRPr="00577052">
        <w:rPr>
          <w:color w:val="202124"/>
        </w:rPr>
        <w:t xml:space="preserve">treatment </w:t>
      </w:r>
      <w:r w:rsidRPr="00577052">
        <w:rPr>
          <w:color w:val="202124"/>
        </w:rPr>
        <w:t>self-efficacy (SEATR)</w:t>
      </w:r>
      <w:r w:rsidR="00812BC6" w:rsidRPr="00577052">
        <w:rPr>
          <w:color w:val="202124"/>
        </w:rPr>
        <w:t>, only the main effect of group was significant</w:t>
      </w:r>
      <w:r w:rsidR="008F0A50">
        <w:rPr>
          <w:color w:val="202124"/>
        </w:rPr>
        <w:t xml:space="preserve"> </w:t>
      </w:r>
      <w:r w:rsidR="008F0A50">
        <w:rPr>
          <w:lang w:val="en-GB"/>
        </w:rPr>
        <w:t>(see Figure 2)</w:t>
      </w:r>
      <w:r w:rsidR="004275EA" w:rsidRPr="00577052">
        <w:rPr>
          <w:color w:val="202124"/>
        </w:rPr>
        <w:t xml:space="preserve">. Pairwise comparisons showed that the persistent group had significantly lower </w:t>
      </w:r>
      <w:r w:rsidR="00554EF8" w:rsidRPr="00577052">
        <w:rPr>
          <w:color w:val="202124"/>
        </w:rPr>
        <w:t xml:space="preserve">treatment self-efficacy </w:t>
      </w:r>
      <w:r w:rsidR="004275EA" w:rsidRPr="00577052">
        <w:rPr>
          <w:color w:val="202124"/>
        </w:rPr>
        <w:t>compared to the other three groups regardless of time.</w:t>
      </w:r>
    </w:p>
    <w:p w14:paraId="3F676610" w14:textId="63B86705" w:rsidR="00BB5244" w:rsidRDefault="00BB5244" w:rsidP="008A2F4F">
      <w:pPr>
        <w:spacing w:line="480" w:lineRule="auto"/>
        <w:contextualSpacing/>
        <w:rPr>
          <w:lang w:val="en-GB"/>
        </w:rPr>
      </w:pPr>
      <w:r>
        <w:rPr>
          <w:noProof/>
          <w:lang w:val="en-GB"/>
        </w:rPr>
        <w:drawing>
          <wp:inline distT="0" distB="0" distL="0" distR="0" wp14:anchorId="42C32739" wp14:editId="72D22208">
            <wp:extent cx="5727700" cy="2132330"/>
            <wp:effectExtent l="0" t="0" r="0" b="127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2132330"/>
                    </a:xfrm>
                    <a:prstGeom prst="rect">
                      <a:avLst/>
                    </a:prstGeom>
                  </pic:spPr>
                </pic:pic>
              </a:graphicData>
            </a:graphic>
          </wp:inline>
        </w:drawing>
      </w:r>
    </w:p>
    <w:p w14:paraId="31DD735D" w14:textId="428379A4" w:rsidR="003E0B16" w:rsidRPr="00577052" w:rsidRDefault="003E0B16" w:rsidP="008A2F4F">
      <w:pPr>
        <w:spacing w:line="480" w:lineRule="auto"/>
        <w:contextualSpacing/>
        <w:rPr>
          <w:lang w:val="en-GB"/>
        </w:rPr>
      </w:pPr>
      <w:r w:rsidRPr="00BE4E72">
        <w:rPr>
          <w:i/>
          <w:iCs/>
          <w:sz w:val="18"/>
          <w:szCs w:val="18"/>
          <w:lang w:val="en-GB"/>
        </w:rPr>
        <w:t>Figure 2.</w:t>
      </w:r>
      <w:r w:rsidRPr="00BE4E72">
        <w:rPr>
          <w:sz w:val="18"/>
          <w:szCs w:val="18"/>
          <w:lang w:val="en-GB"/>
        </w:rPr>
        <w:t xml:space="preserve"> </w:t>
      </w:r>
      <w:r w:rsidR="00BE4E72" w:rsidRPr="00BE4E72">
        <w:rPr>
          <w:sz w:val="18"/>
          <w:szCs w:val="18"/>
          <w:lang w:val="en-US"/>
        </w:rPr>
        <w:t>Mixed ANOVAs comparing disease and treatment self-efficacy among four trajectory groups across two time points.</w:t>
      </w:r>
    </w:p>
    <w:p w14:paraId="61AB0883" w14:textId="4BAE315A" w:rsidR="00246EE0" w:rsidRDefault="00246EE0" w:rsidP="00246EE0">
      <w:pPr>
        <w:spacing w:line="480" w:lineRule="auto"/>
        <w:contextualSpacing/>
        <w:rPr>
          <w:lang w:val="en-GB"/>
        </w:rPr>
      </w:pPr>
      <w:r w:rsidRPr="00577052">
        <w:rPr>
          <w:b/>
          <w:bCs/>
          <w:lang w:val="en-GB"/>
        </w:rPr>
        <w:t>Self-management skills.</w:t>
      </w:r>
      <w:r w:rsidRPr="00577052">
        <w:rPr>
          <w:lang w:val="en-GB"/>
        </w:rPr>
        <w:t xml:space="preserve"> The ANOVAs on the skills and technique acquisition, self-monitoring and insight, and health services navigation subscales of the </w:t>
      </w:r>
      <w:proofErr w:type="spellStart"/>
      <w:r w:rsidRPr="00577052">
        <w:rPr>
          <w:lang w:val="en-GB"/>
        </w:rPr>
        <w:t>heiQ</w:t>
      </w:r>
      <w:proofErr w:type="spellEnd"/>
      <w:r w:rsidRPr="00577052">
        <w:rPr>
          <w:lang w:val="en-GB"/>
        </w:rPr>
        <w:t xml:space="preserve"> also revealed significant main effects of group</w:t>
      </w:r>
      <w:r w:rsidR="00243E94">
        <w:rPr>
          <w:lang w:val="en-GB"/>
        </w:rPr>
        <w:t xml:space="preserve"> (see Figure 3)</w:t>
      </w:r>
      <w:r w:rsidRPr="00577052">
        <w:rPr>
          <w:lang w:val="en-GB"/>
        </w:rPr>
        <w:t xml:space="preserve">. For the skills and technique acquisition subscale, pairwise comparisons showed that the persistent group had poorer skills and techniques to manage symptoms or health problems than the resilient group regardless of </w:t>
      </w:r>
      <w:r w:rsidRPr="00577052">
        <w:rPr>
          <w:lang w:val="en-GB"/>
        </w:rPr>
        <w:lastRenderedPageBreak/>
        <w:t>time. For the self-monitoring and insight subscale, pairwise comparisons showed that the persistent group had poorer ability to monitor their own health than the resilient group and the recovery group regardless of time. For the health services navigation subscale, pairwise comparisons showed that the persistent group had poorer ability to communicate with healthcare providers than the other three groups regardless of time.</w:t>
      </w:r>
    </w:p>
    <w:p w14:paraId="74A82E3F" w14:textId="61E91C94" w:rsidR="00C55360" w:rsidRDefault="00C55360" w:rsidP="00246EE0">
      <w:pPr>
        <w:spacing w:line="480" w:lineRule="auto"/>
        <w:contextualSpacing/>
        <w:rPr>
          <w:lang w:val="en-GB"/>
        </w:rPr>
      </w:pPr>
      <w:r>
        <w:rPr>
          <w:noProof/>
          <w:lang w:val="en-GB"/>
        </w:rPr>
        <w:drawing>
          <wp:inline distT="0" distB="0" distL="0" distR="0" wp14:anchorId="20C833B4" wp14:editId="4A033B84">
            <wp:extent cx="5727700" cy="1447165"/>
            <wp:effectExtent l="0" t="0" r="0" b="63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1447165"/>
                    </a:xfrm>
                    <a:prstGeom prst="rect">
                      <a:avLst/>
                    </a:prstGeom>
                  </pic:spPr>
                </pic:pic>
              </a:graphicData>
            </a:graphic>
          </wp:inline>
        </w:drawing>
      </w:r>
    </w:p>
    <w:p w14:paraId="46FA3D1F" w14:textId="34E938F0" w:rsidR="0023502F" w:rsidRPr="00577052" w:rsidRDefault="0023502F" w:rsidP="00246EE0">
      <w:pPr>
        <w:spacing w:line="480" w:lineRule="auto"/>
        <w:contextualSpacing/>
        <w:rPr>
          <w:lang w:val="en-GB"/>
        </w:rPr>
      </w:pPr>
      <w:r w:rsidRPr="00BE4E72">
        <w:rPr>
          <w:i/>
          <w:iCs/>
          <w:sz w:val="18"/>
          <w:szCs w:val="18"/>
          <w:lang w:val="en-GB"/>
        </w:rPr>
        <w:t xml:space="preserve">Figure </w:t>
      </w:r>
      <w:r>
        <w:rPr>
          <w:i/>
          <w:iCs/>
          <w:sz w:val="18"/>
          <w:szCs w:val="18"/>
          <w:lang w:val="en-GB"/>
        </w:rPr>
        <w:t>3</w:t>
      </w:r>
      <w:r w:rsidRPr="00BE4E72">
        <w:rPr>
          <w:i/>
          <w:iCs/>
          <w:sz w:val="18"/>
          <w:szCs w:val="18"/>
          <w:lang w:val="en-GB"/>
        </w:rPr>
        <w:t>.</w:t>
      </w:r>
      <w:r w:rsidRPr="00BE4E72">
        <w:rPr>
          <w:sz w:val="18"/>
          <w:szCs w:val="18"/>
          <w:lang w:val="en-GB"/>
        </w:rPr>
        <w:t xml:space="preserve"> </w:t>
      </w:r>
      <w:r w:rsidR="00EB4B84" w:rsidRPr="00EB4B84">
        <w:rPr>
          <w:sz w:val="18"/>
          <w:szCs w:val="18"/>
          <w:lang w:val="en-US"/>
        </w:rPr>
        <w:t>Mixed ANOVAs comparing self-management skills among four trajectory groups across two time points.</w:t>
      </w:r>
    </w:p>
    <w:p w14:paraId="6927FD3E" w14:textId="16D99797" w:rsidR="00A45621" w:rsidRDefault="00A45621" w:rsidP="00577052">
      <w:pPr>
        <w:spacing w:line="480" w:lineRule="auto"/>
        <w:contextualSpacing/>
        <w:rPr>
          <w:lang w:val="en-GB"/>
        </w:rPr>
      </w:pPr>
      <w:r w:rsidRPr="00577052">
        <w:rPr>
          <w:b/>
          <w:bCs/>
          <w:lang w:val="en-GB"/>
        </w:rPr>
        <w:t>Treatment adherence.</w:t>
      </w:r>
      <w:r w:rsidR="006C3D6B" w:rsidRPr="00577052">
        <w:rPr>
          <w:lang w:val="en-GB"/>
        </w:rPr>
        <w:t xml:space="preserve"> The ANOVAs on </w:t>
      </w:r>
      <w:r w:rsidR="00AD1989" w:rsidRPr="00577052">
        <w:rPr>
          <w:lang w:val="en-GB"/>
        </w:rPr>
        <w:t xml:space="preserve">MARS-5 and RABQ total scores both revealed a significant </w:t>
      </w:r>
      <w:r w:rsidR="00873538" w:rsidRPr="00577052">
        <w:rPr>
          <w:lang w:val="en-GB"/>
        </w:rPr>
        <w:t>main</w:t>
      </w:r>
      <w:r w:rsidR="00AD1989" w:rsidRPr="00577052">
        <w:rPr>
          <w:lang w:val="en-GB"/>
        </w:rPr>
        <w:t xml:space="preserve"> effect</w:t>
      </w:r>
      <w:r w:rsidR="00873538" w:rsidRPr="00577052">
        <w:rPr>
          <w:lang w:val="en-GB"/>
        </w:rPr>
        <w:t xml:space="preserve"> of group</w:t>
      </w:r>
      <w:r w:rsidR="00DD0E39">
        <w:rPr>
          <w:lang w:val="en-GB"/>
        </w:rPr>
        <w:t xml:space="preserve"> (see Figure 4)</w:t>
      </w:r>
      <w:r w:rsidR="0078793D" w:rsidRPr="00577052">
        <w:rPr>
          <w:lang w:val="en-GB"/>
        </w:rPr>
        <w:t>.</w:t>
      </w:r>
      <w:r w:rsidR="005F6F6B" w:rsidRPr="00577052">
        <w:rPr>
          <w:lang w:val="en-GB"/>
        </w:rPr>
        <w:t xml:space="preserve"> For </w:t>
      </w:r>
      <w:r w:rsidR="00DB0E01" w:rsidRPr="00577052">
        <w:rPr>
          <w:lang w:val="en-GB"/>
        </w:rPr>
        <w:t>MARS-5</w:t>
      </w:r>
      <w:r w:rsidR="005F6F6B" w:rsidRPr="00577052">
        <w:rPr>
          <w:lang w:val="en-GB"/>
        </w:rPr>
        <w:t xml:space="preserve">, pairwise comparisons showed that the persistent group </w:t>
      </w:r>
      <w:r w:rsidR="00DB0E01" w:rsidRPr="00577052">
        <w:rPr>
          <w:lang w:val="en-GB"/>
        </w:rPr>
        <w:t xml:space="preserve">had poorer medication adherence compared to the other three groups regardless of time. </w:t>
      </w:r>
      <w:r w:rsidR="00A46B52" w:rsidRPr="00577052">
        <w:rPr>
          <w:lang w:val="en-GB"/>
        </w:rPr>
        <w:t xml:space="preserve">Regarding RABQ, pairwise comparisons showed that the persistent group had poorer adherence </w:t>
      </w:r>
      <w:r w:rsidR="003F50CE">
        <w:rPr>
          <w:lang w:val="en-GB"/>
        </w:rPr>
        <w:t>in other treatment aspects (e.g., diet, fluid, etc.)</w:t>
      </w:r>
      <w:r w:rsidR="00A46B52" w:rsidRPr="00577052">
        <w:rPr>
          <w:lang w:val="en-GB"/>
        </w:rPr>
        <w:t xml:space="preserve"> compared to </w:t>
      </w:r>
      <w:r w:rsidR="00B67DD0" w:rsidRPr="00577052">
        <w:rPr>
          <w:lang w:val="en-GB"/>
        </w:rPr>
        <w:t xml:space="preserve">the recovery group </w:t>
      </w:r>
      <w:r w:rsidR="00303D7C" w:rsidRPr="00577052">
        <w:rPr>
          <w:lang w:val="en-GB"/>
        </w:rPr>
        <w:t>regardless of time.</w:t>
      </w:r>
    </w:p>
    <w:p w14:paraId="34993088" w14:textId="42912E51" w:rsidR="00B121BD" w:rsidRDefault="00B121BD" w:rsidP="00577052">
      <w:pPr>
        <w:spacing w:line="480" w:lineRule="auto"/>
        <w:contextualSpacing/>
        <w:rPr>
          <w:color w:val="FF0000"/>
          <w:lang w:val="en-GB"/>
        </w:rPr>
      </w:pPr>
      <w:r>
        <w:rPr>
          <w:noProof/>
          <w:color w:val="FF0000"/>
          <w:lang w:val="en-GB"/>
        </w:rPr>
        <w:drawing>
          <wp:inline distT="0" distB="0" distL="0" distR="0" wp14:anchorId="7322A0B8" wp14:editId="0714722A">
            <wp:extent cx="5727700" cy="213868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2138680"/>
                    </a:xfrm>
                    <a:prstGeom prst="rect">
                      <a:avLst/>
                    </a:prstGeom>
                  </pic:spPr>
                </pic:pic>
              </a:graphicData>
            </a:graphic>
          </wp:inline>
        </w:drawing>
      </w:r>
    </w:p>
    <w:p w14:paraId="6DD17F6B" w14:textId="359BA774" w:rsidR="008E2C11" w:rsidRPr="007E515C" w:rsidRDefault="008E2C11" w:rsidP="00577052">
      <w:pPr>
        <w:spacing w:line="480" w:lineRule="auto"/>
        <w:contextualSpacing/>
        <w:rPr>
          <w:color w:val="FF0000"/>
          <w:lang w:val="en-GB"/>
        </w:rPr>
      </w:pPr>
      <w:r w:rsidRPr="00BE4E72">
        <w:rPr>
          <w:i/>
          <w:iCs/>
          <w:sz w:val="18"/>
          <w:szCs w:val="18"/>
          <w:lang w:val="en-GB"/>
        </w:rPr>
        <w:t xml:space="preserve">Figure </w:t>
      </w:r>
      <w:r>
        <w:rPr>
          <w:i/>
          <w:iCs/>
          <w:sz w:val="18"/>
          <w:szCs w:val="18"/>
          <w:lang w:val="en-GB"/>
        </w:rPr>
        <w:t>4</w:t>
      </w:r>
      <w:r w:rsidRPr="00BE4E72">
        <w:rPr>
          <w:i/>
          <w:iCs/>
          <w:sz w:val="18"/>
          <w:szCs w:val="18"/>
          <w:lang w:val="en-GB"/>
        </w:rPr>
        <w:t>.</w:t>
      </w:r>
      <w:r w:rsidRPr="00BE4E72">
        <w:rPr>
          <w:sz w:val="18"/>
          <w:szCs w:val="18"/>
          <w:lang w:val="en-GB"/>
        </w:rPr>
        <w:t xml:space="preserve"> </w:t>
      </w:r>
      <w:r w:rsidRPr="008E2C11">
        <w:rPr>
          <w:sz w:val="18"/>
          <w:szCs w:val="18"/>
          <w:lang w:val="en-US"/>
        </w:rPr>
        <w:t>Mixed ANOVAs comparing treatment adherence among four trajectory groups across two time points</w:t>
      </w:r>
      <w:r w:rsidRPr="00EB4B84">
        <w:rPr>
          <w:sz w:val="18"/>
          <w:szCs w:val="18"/>
          <w:lang w:val="en-US"/>
        </w:rPr>
        <w:t>.</w:t>
      </w:r>
    </w:p>
    <w:p w14:paraId="6DC6B781" w14:textId="222BCAF7" w:rsidR="007D7EC6" w:rsidRPr="00577052" w:rsidRDefault="00A45621" w:rsidP="00577052">
      <w:pPr>
        <w:spacing w:line="480" w:lineRule="auto"/>
        <w:contextualSpacing/>
        <w:rPr>
          <w:lang w:val="en-GB"/>
        </w:rPr>
      </w:pPr>
      <w:r w:rsidRPr="00577052">
        <w:rPr>
          <w:b/>
          <w:bCs/>
          <w:lang w:val="en-GB"/>
        </w:rPr>
        <w:t>Mood symptoms.</w:t>
      </w:r>
      <w:r w:rsidR="00831059" w:rsidRPr="00577052">
        <w:rPr>
          <w:lang w:val="en-GB"/>
        </w:rPr>
        <w:t xml:space="preserve"> </w:t>
      </w:r>
      <w:r w:rsidR="000455F6" w:rsidRPr="00577052">
        <w:rPr>
          <w:lang w:val="en-GB"/>
        </w:rPr>
        <w:t>The ANOVA on depressive symptoms showed a significant main effect of group and a significant interaction.</w:t>
      </w:r>
      <w:r w:rsidR="00A162F1" w:rsidRPr="00577052">
        <w:rPr>
          <w:lang w:val="en-GB"/>
        </w:rPr>
        <w:t xml:space="preserve"> </w:t>
      </w:r>
      <w:r w:rsidR="00916512" w:rsidRPr="00577052">
        <w:rPr>
          <w:lang w:val="en-GB"/>
        </w:rPr>
        <w:t xml:space="preserve">Post-hoc comparisons showed that </w:t>
      </w:r>
      <w:r w:rsidR="00247ED7" w:rsidRPr="00577052">
        <w:rPr>
          <w:lang w:val="en-GB"/>
        </w:rPr>
        <w:t xml:space="preserve">there was a significant </w:t>
      </w:r>
      <w:r w:rsidR="00247ED7" w:rsidRPr="00577052">
        <w:rPr>
          <w:lang w:val="en-GB"/>
        </w:rPr>
        <w:lastRenderedPageBreak/>
        <w:t>decrease in depressive symptoms</w:t>
      </w:r>
      <w:r w:rsidR="00A162F1" w:rsidRPr="00577052">
        <w:rPr>
          <w:lang w:val="en-GB"/>
        </w:rPr>
        <w:t xml:space="preserve"> from baseline to follow-up in the recovery group</w:t>
      </w:r>
      <w:r w:rsidR="00247ED7" w:rsidRPr="00577052">
        <w:rPr>
          <w:lang w:val="en-GB"/>
        </w:rPr>
        <w:t xml:space="preserve">, </w:t>
      </w:r>
      <w:r w:rsidR="00247ED7" w:rsidRPr="00577052">
        <w:rPr>
          <w:i/>
          <w:iCs/>
          <w:lang w:val="en-GB"/>
        </w:rPr>
        <w:t>t</w:t>
      </w:r>
      <w:r w:rsidR="00247ED7" w:rsidRPr="00577052">
        <w:rPr>
          <w:lang w:val="en-GB"/>
        </w:rPr>
        <w:t xml:space="preserve">(20) = 2.94, </w:t>
      </w:r>
      <w:r w:rsidR="00247ED7" w:rsidRPr="00577052">
        <w:rPr>
          <w:i/>
          <w:iCs/>
          <w:lang w:val="en-GB"/>
        </w:rPr>
        <w:t>p</w:t>
      </w:r>
      <w:r w:rsidR="00247ED7" w:rsidRPr="00577052">
        <w:rPr>
          <w:lang w:val="en-GB"/>
        </w:rPr>
        <w:t xml:space="preserve"> = .008, </w:t>
      </w:r>
      <w:r w:rsidR="00247ED7" w:rsidRPr="00577052">
        <w:rPr>
          <w:i/>
          <w:iCs/>
          <w:lang w:val="en-GB"/>
        </w:rPr>
        <w:t>d</w:t>
      </w:r>
      <w:r w:rsidR="00247ED7" w:rsidRPr="00577052">
        <w:rPr>
          <w:lang w:val="en-GB"/>
        </w:rPr>
        <w:t xml:space="preserve"> = 0.64,</w:t>
      </w:r>
      <w:r w:rsidR="00916512" w:rsidRPr="00577052">
        <w:rPr>
          <w:lang w:val="en-GB"/>
        </w:rPr>
        <w:t xml:space="preserve"> </w:t>
      </w:r>
      <w:r w:rsidR="00D124CC" w:rsidRPr="00577052">
        <w:rPr>
          <w:lang w:val="en-GB"/>
        </w:rPr>
        <w:t>while the other three groups showed no difference</w:t>
      </w:r>
      <w:r w:rsidR="00A162F1" w:rsidRPr="00577052">
        <w:rPr>
          <w:lang w:val="en-GB"/>
        </w:rPr>
        <w:t xml:space="preserve"> </w:t>
      </w:r>
      <w:r w:rsidR="00D124CC" w:rsidRPr="00577052">
        <w:rPr>
          <w:lang w:val="en-GB"/>
        </w:rPr>
        <w:t>across time.</w:t>
      </w:r>
      <w:r w:rsidR="009C7F5A" w:rsidRPr="00577052">
        <w:rPr>
          <w:lang w:val="en-GB"/>
        </w:rPr>
        <w:t xml:space="preserve"> A</w:t>
      </w:r>
      <w:r w:rsidR="001625DA" w:rsidRPr="00577052">
        <w:rPr>
          <w:lang w:val="en-GB"/>
        </w:rPr>
        <w:t xml:space="preserve">t baseline, </w:t>
      </w:r>
      <w:r w:rsidR="00451A72" w:rsidRPr="00577052">
        <w:rPr>
          <w:lang w:val="en-GB"/>
        </w:rPr>
        <w:t>the recovery group had similar levels of depressive symptoms</w:t>
      </w:r>
      <w:r w:rsidR="00FD5115" w:rsidRPr="00577052">
        <w:rPr>
          <w:lang w:val="en-GB"/>
        </w:rPr>
        <w:t xml:space="preserve"> to the persistent group</w:t>
      </w:r>
      <w:r w:rsidR="00B9605A" w:rsidRPr="00577052">
        <w:rPr>
          <w:lang w:val="en-GB"/>
        </w:rPr>
        <w:t>,</w:t>
      </w:r>
      <w:r w:rsidR="00D12B15" w:rsidRPr="00577052">
        <w:rPr>
          <w:lang w:val="en-GB"/>
        </w:rPr>
        <w:t xml:space="preserve"> and both were higher than the resilient group</w:t>
      </w:r>
      <w:r w:rsidR="00B15DC4" w:rsidRPr="00577052">
        <w:rPr>
          <w:lang w:val="en-GB"/>
        </w:rPr>
        <w:t xml:space="preserve">, </w:t>
      </w:r>
      <w:r w:rsidR="00B15DC4" w:rsidRPr="00577052">
        <w:rPr>
          <w:i/>
          <w:iCs/>
          <w:lang w:val="en-GB"/>
        </w:rPr>
        <w:t>F</w:t>
      </w:r>
      <w:r w:rsidR="00B15DC4" w:rsidRPr="00577052">
        <w:rPr>
          <w:lang w:val="en-GB"/>
        </w:rPr>
        <w:t xml:space="preserve">(3, 155) = 9.08, </w:t>
      </w:r>
      <w:r w:rsidR="00B15DC4" w:rsidRPr="00577052">
        <w:rPr>
          <w:i/>
          <w:iCs/>
          <w:lang w:val="en-GB"/>
        </w:rPr>
        <w:t>p</w:t>
      </w:r>
      <w:r w:rsidR="00B15DC4" w:rsidRPr="00577052">
        <w:rPr>
          <w:lang w:val="en-GB"/>
        </w:rPr>
        <w:t xml:space="preserve"> &lt; .001, </w:t>
      </w:r>
      <w:r w:rsidR="00B15DC4" w:rsidRPr="00577052">
        <w:rPr>
          <w:i/>
          <w:iCs/>
          <w:color w:val="202124"/>
          <w:shd w:val="clear" w:color="auto" w:fill="FFFFFF"/>
        </w:rPr>
        <w:t>η</w:t>
      </w:r>
      <w:r w:rsidR="00B15DC4" w:rsidRPr="00577052">
        <w:rPr>
          <w:i/>
          <w:iCs/>
          <w:color w:val="202124"/>
          <w:vertAlign w:val="superscript"/>
        </w:rPr>
        <w:t>2</w:t>
      </w:r>
      <w:r w:rsidR="00B15DC4" w:rsidRPr="00577052">
        <w:rPr>
          <w:color w:val="202124"/>
        </w:rPr>
        <w:t xml:space="preserve"> = 0.15</w:t>
      </w:r>
      <w:r w:rsidR="00D12B15" w:rsidRPr="00577052">
        <w:rPr>
          <w:lang w:val="en-GB"/>
        </w:rPr>
        <w:t xml:space="preserve">. However, at follow-up, </w:t>
      </w:r>
      <w:r w:rsidR="005375F3" w:rsidRPr="00577052">
        <w:rPr>
          <w:lang w:val="en-GB"/>
        </w:rPr>
        <w:t>the recovery group had similar levels of depressive symptoms to the resilient group</w:t>
      </w:r>
      <w:r w:rsidR="007611AF" w:rsidRPr="00577052">
        <w:rPr>
          <w:lang w:val="en-GB"/>
        </w:rPr>
        <w:t>,</w:t>
      </w:r>
      <w:r w:rsidR="005375F3" w:rsidRPr="00577052">
        <w:rPr>
          <w:lang w:val="en-GB"/>
        </w:rPr>
        <w:t xml:space="preserve"> and both were lower than the persistent complaints group</w:t>
      </w:r>
      <w:r w:rsidR="007611AF" w:rsidRPr="00577052">
        <w:rPr>
          <w:lang w:val="en-GB"/>
        </w:rPr>
        <w:t xml:space="preserve">, </w:t>
      </w:r>
      <w:r w:rsidR="007611AF" w:rsidRPr="00577052">
        <w:rPr>
          <w:i/>
          <w:iCs/>
          <w:lang w:val="en-GB"/>
        </w:rPr>
        <w:t>F</w:t>
      </w:r>
      <w:r w:rsidR="007611AF" w:rsidRPr="00577052">
        <w:rPr>
          <w:lang w:val="en-GB"/>
        </w:rPr>
        <w:t xml:space="preserve">(3, 155) = 11.24, </w:t>
      </w:r>
      <w:r w:rsidR="007611AF" w:rsidRPr="00577052">
        <w:rPr>
          <w:i/>
          <w:iCs/>
          <w:lang w:val="en-GB"/>
        </w:rPr>
        <w:t>p</w:t>
      </w:r>
      <w:r w:rsidR="007611AF" w:rsidRPr="00577052">
        <w:rPr>
          <w:lang w:val="en-GB"/>
        </w:rPr>
        <w:t xml:space="preserve"> &lt; .001, </w:t>
      </w:r>
      <w:r w:rsidR="007611AF" w:rsidRPr="00577052">
        <w:rPr>
          <w:i/>
          <w:iCs/>
          <w:color w:val="202124"/>
          <w:shd w:val="clear" w:color="auto" w:fill="FFFFFF"/>
        </w:rPr>
        <w:t>η</w:t>
      </w:r>
      <w:r w:rsidR="007611AF" w:rsidRPr="00577052">
        <w:rPr>
          <w:i/>
          <w:iCs/>
          <w:color w:val="202124"/>
          <w:vertAlign w:val="superscript"/>
        </w:rPr>
        <w:t>2</w:t>
      </w:r>
      <w:r w:rsidR="007611AF" w:rsidRPr="00577052">
        <w:rPr>
          <w:color w:val="202124"/>
        </w:rPr>
        <w:t xml:space="preserve"> = 0.18</w:t>
      </w:r>
      <w:r w:rsidR="005375F3" w:rsidRPr="00577052">
        <w:rPr>
          <w:lang w:val="en-GB"/>
        </w:rPr>
        <w:t>.</w:t>
      </w:r>
      <w:r w:rsidR="000B025F" w:rsidRPr="00577052">
        <w:rPr>
          <w:lang w:val="en-GB"/>
        </w:rPr>
        <w:t xml:space="preserve"> In addition, although at baseline there was no difference between resilient </w:t>
      </w:r>
      <w:r w:rsidR="00F5485C" w:rsidRPr="00577052">
        <w:rPr>
          <w:lang w:val="en-GB"/>
        </w:rPr>
        <w:t xml:space="preserve">and deterioration </w:t>
      </w:r>
      <w:r w:rsidR="000B025F" w:rsidRPr="00577052">
        <w:rPr>
          <w:lang w:val="en-GB"/>
        </w:rPr>
        <w:t>groups,</w:t>
      </w:r>
      <w:r w:rsidR="00632895">
        <w:rPr>
          <w:lang w:val="en-GB"/>
        </w:rPr>
        <w:t xml:space="preserve"> </w:t>
      </w:r>
      <w:r w:rsidR="00632895" w:rsidRPr="00577052">
        <w:rPr>
          <w:i/>
          <w:iCs/>
          <w:lang w:val="en-GB"/>
        </w:rPr>
        <w:t>t</w:t>
      </w:r>
      <w:r w:rsidR="00632895" w:rsidRPr="00577052">
        <w:rPr>
          <w:lang w:val="en-GB"/>
        </w:rPr>
        <w:t>(</w:t>
      </w:r>
      <w:r w:rsidR="00632895">
        <w:rPr>
          <w:lang w:val="en-GB"/>
        </w:rPr>
        <w:t>122</w:t>
      </w:r>
      <w:r w:rsidR="00632895" w:rsidRPr="00577052">
        <w:rPr>
          <w:lang w:val="en-GB"/>
        </w:rPr>
        <w:t xml:space="preserve">) = </w:t>
      </w:r>
      <w:r w:rsidR="00632895">
        <w:rPr>
          <w:lang w:val="en-GB"/>
        </w:rPr>
        <w:t>-1</w:t>
      </w:r>
      <w:r w:rsidR="00632895" w:rsidRPr="00577052">
        <w:rPr>
          <w:lang w:val="en-GB"/>
        </w:rPr>
        <w:t>.</w:t>
      </w:r>
      <w:r w:rsidR="00632895">
        <w:rPr>
          <w:lang w:val="en-GB"/>
        </w:rPr>
        <w:t>86</w:t>
      </w:r>
      <w:r w:rsidR="00632895" w:rsidRPr="00577052">
        <w:rPr>
          <w:lang w:val="en-GB"/>
        </w:rPr>
        <w:t xml:space="preserve">, </w:t>
      </w:r>
      <w:r w:rsidR="00632895" w:rsidRPr="00577052">
        <w:rPr>
          <w:i/>
          <w:iCs/>
          <w:lang w:val="en-GB"/>
        </w:rPr>
        <w:t>p</w:t>
      </w:r>
      <w:r w:rsidR="00632895" w:rsidRPr="00577052">
        <w:rPr>
          <w:lang w:val="en-GB"/>
        </w:rPr>
        <w:t xml:space="preserve"> = .</w:t>
      </w:r>
      <w:r w:rsidR="00632895">
        <w:rPr>
          <w:lang w:val="en-GB"/>
        </w:rPr>
        <w:t>066</w:t>
      </w:r>
      <w:r w:rsidR="00632895" w:rsidRPr="00577052">
        <w:rPr>
          <w:lang w:val="en-GB"/>
        </w:rPr>
        <w:t xml:space="preserve">, </w:t>
      </w:r>
      <w:r w:rsidR="00632895" w:rsidRPr="00577052">
        <w:rPr>
          <w:i/>
          <w:iCs/>
          <w:lang w:val="en-GB"/>
        </w:rPr>
        <w:t>d</w:t>
      </w:r>
      <w:r w:rsidR="00632895" w:rsidRPr="00577052">
        <w:rPr>
          <w:lang w:val="en-GB"/>
        </w:rPr>
        <w:t xml:space="preserve"> = 0.4</w:t>
      </w:r>
      <w:r w:rsidR="00632895">
        <w:rPr>
          <w:lang w:val="en-GB"/>
        </w:rPr>
        <w:t>0</w:t>
      </w:r>
      <w:r w:rsidR="00632895" w:rsidRPr="00577052">
        <w:rPr>
          <w:lang w:val="en-GB"/>
        </w:rPr>
        <w:t>,</w:t>
      </w:r>
      <w:r w:rsidR="000B025F" w:rsidRPr="00577052">
        <w:rPr>
          <w:lang w:val="en-GB"/>
        </w:rPr>
        <w:t xml:space="preserve"> the </w:t>
      </w:r>
      <w:r w:rsidR="008C5C77" w:rsidRPr="00577052">
        <w:rPr>
          <w:lang w:val="en-GB"/>
        </w:rPr>
        <w:t>latter</w:t>
      </w:r>
      <w:r w:rsidR="000B025F" w:rsidRPr="00577052">
        <w:rPr>
          <w:lang w:val="en-GB"/>
        </w:rPr>
        <w:t xml:space="preserve"> developed </w:t>
      </w:r>
      <w:r w:rsidR="007D7EC6" w:rsidRPr="00577052">
        <w:rPr>
          <w:lang w:val="en-GB"/>
        </w:rPr>
        <w:t xml:space="preserve">significantly </w:t>
      </w:r>
      <w:r w:rsidR="000B025F" w:rsidRPr="00577052">
        <w:rPr>
          <w:lang w:val="en-GB"/>
        </w:rPr>
        <w:t xml:space="preserve">higher depressive symptoms than the </w:t>
      </w:r>
      <w:r w:rsidR="00157CA4" w:rsidRPr="00577052">
        <w:rPr>
          <w:lang w:val="en-GB"/>
        </w:rPr>
        <w:t>former</w:t>
      </w:r>
      <w:r w:rsidR="00B9605A" w:rsidRPr="00577052">
        <w:rPr>
          <w:lang w:val="en-GB"/>
        </w:rPr>
        <w:t xml:space="preserve"> at follow-up</w:t>
      </w:r>
      <w:r w:rsidR="001679F0">
        <w:rPr>
          <w:lang w:val="en-GB"/>
        </w:rPr>
        <w:t xml:space="preserve">, </w:t>
      </w:r>
      <w:r w:rsidR="001679F0" w:rsidRPr="00577052">
        <w:rPr>
          <w:i/>
          <w:iCs/>
          <w:lang w:val="en-GB"/>
        </w:rPr>
        <w:t>t</w:t>
      </w:r>
      <w:r w:rsidR="001679F0" w:rsidRPr="00577052">
        <w:rPr>
          <w:lang w:val="en-GB"/>
        </w:rPr>
        <w:t>(</w:t>
      </w:r>
      <w:r w:rsidR="001679F0">
        <w:rPr>
          <w:lang w:val="en-GB"/>
        </w:rPr>
        <w:t>122</w:t>
      </w:r>
      <w:r w:rsidR="001679F0" w:rsidRPr="00577052">
        <w:rPr>
          <w:lang w:val="en-GB"/>
        </w:rPr>
        <w:t xml:space="preserve">) = </w:t>
      </w:r>
      <w:r w:rsidR="001679F0">
        <w:rPr>
          <w:lang w:val="en-GB"/>
        </w:rPr>
        <w:t>-3</w:t>
      </w:r>
      <w:r w:rsidR="001679F0" w:rsidRPr="00577052">
        <w:rPr>
          <w:lang w:val="en-GB"/>
        </w:rPr>
        <w:t>.</w:t>
      </w:r>
      <w:r w:rsidR="001679F0">
        <w:rPr>
          <w:lang w:val="en-GB"/>
        </w:rPr>
        <w:t>85</w:t>
      </w:r>
      <w:r w:rsidR="001679F0" w:rsidRPr="00577052">
        <w:rPr>
          <w:lang w:val="en-GB"/>
        </w:rPr>
        <w:t xml:space="preserve">, </w:t>
      </w:r>
      <w:r w:rsidR="001679F0" w:rsidRPr="00577052">
        <w:rPr>
          <w:i/>
          <w:iCs/>
          <w:lang w:val="en-GB"/>
        </w:rPr>
        <w:t>p</w:t>
      </w:r>
      <w:r w:rsidR="001679F0" w:rsidRPr="00577052">
        <w:rPr>
          <w:lang w:val="en-GB"/>
        </w:rPr>
        <w:t xml:space="preserve"> </w:t>
      </w:r>
      <w:r w:rsidR="001679F0">
        <w:rPr>
          <w:lang w:val="en-GB"/>
        </w:rPr>
        <w:t>&lt;</w:t>
      </w:r>
      <w:r w:rsidR="001679F0" w:rsidRPr="00577052">
        <w:rPr>
          <w:lang w:val="en-GB"/>
        </w:rPr>
        <w:t xml:space="preserve"> .</w:t>
      </w:r>
      <w:r w:rsidR="001679F0">
        <w:rPr>
          <w:lang w:val="en-GB"/>
        </w:rPr>
        <w:t>001</w:t>
      </w:r>
      <w:r w:rsidR="001679F0" w:rsidRPr="00577052">
        <w:rPr>
          <w:lang w:val="en-GB"/>
        </w:rPr>
        <w:t xml:space="preserve">, </w:t>
      </w:r>
      <w:r w:rsidR="001679F0" w:rsidRPr="00577052">
        <w:rPr>
          <w:i/>
          <w:iCs/>
          <w:lang w:val="en-GB"/>
        </w:rPr>
        <w:t>d</w:t>
      </w:r>
      <w:r w:rsidR="001679F0" w:rsidRPr="00577052">
        <w:rPr>
          <w:lang w:val="en-GB"/>
        </w:rPr>
        <w:t xml:space="preserve"> = 0.</w:t>
      </w:r>
      <w:r w:rsidR="003142AB">
        <w:rPr>
          <w:lang w:val="en-GB"/>
        </w:rPr>
        <w:t>83</w:t>
      </w:r>
      <w:r w:rsidR="000B025F" w:rsidRPr="00577052">
        <w:rPr>
          <w:lang w:val="en-GB"/>
        </w:rPr>
        <w:t>.</w:t>
      </w:r>
    </w:p>
    <w:p w14:paraId="4B1F0C77" w14:textId="56763AD9" w:rsidR="001507D2" w:rsidRPr="00577052" w:rsidRDefault="00543ADF" w:rsidP="00577052">
      <w:pPr>
        <w:spacing w:line="480" w:lineRule="auto"/>
        <w:ind w:firstLine="567"/>
        <w:contextualSpacing/>
        <w:rPr>
          <w:lang w:val="en-GB"/>
        </w:rPr>
      </w:pPr>
      <w:r w:rsidRPr="00577052">
        <w:rPr>
          <w:lang w:val="en-GB"/>
        </w:rPr>
        <w:t xml:space="preserve">The ANOVA on anxious symptoms also showed a significant main effect of group and </w:t>
      </w:r>
      <w:r w:rsidR="00C77CC1" w:rsidRPr="00577052">
        <w:rPr>
          <w:lang w:val="en-GB"/>
        </w:rPr>
        <w:t xml:space="preserve">a significant </w:t>
      </w:r>
      <w:r w:rsidRPr="00577052">
        <w:rPr>
          <w:lang w:val="en-GB"/>
        </w:rPr>
        <w:t xml:space="preserve">interaction. </w:t>
      </w:r>
      <w:r w:rsidR="009A7DD7" w:rsidRPr="00577052">
        <w:rPr>
          <w:lang w:val="en-GB"/>
        </w:rPr>
        <w:t xml:space="preserve">Post-hoc comparisons showed that anxious symptoms diminished from baseline to follow-up in the recovery group, </w:t>
      </w:r>
      <w:r w:rsidR="009A7DD7" w:rsidRPr="00577052">
        <w:rPr>
          <w:i/>
          <w:iCs/>
          <w:lang w:val="en-GB"/>
        </w:rPr>
        <w:t>t</w:t>
      </w:r>
      <w:r w:rsidR="009A7DD7" w:rsidRPr="00577052">
        <w:rPr>
          <w:lang w:val="en-GB"/>
        </w:rPr>
        <w:t xml:space="preserve">(20) = 3.77, </w:t>
      </w:r>
      <w:r w:rsidR="009A7DD7" w:rsidRPr="00577052">
        <w:rPr>
          <w:i/>
          <w:iCs/>
          <w:lang w:val="en-GB"/>
        </w:rPr>
        <w:t>p</w:t>
      </w:r>
      <w:r w:rsidR="009A7DD7" w:rsidRPr="00577052">
        <w:rPr>
          <w:lang w:val="en-GB"/>
        </w:rPr>
        <w:t xml:space="preserve"> = .001, </w:t>
      </w:r>
      <w:r w:rsidR="009A7DD7" w:rsidRPr="00577052">
        <w:rPr>
          <w:i/>
          <w:iCs/>
          <w:lang w:val="en-GB"/>
        </w:rPr>
        <w:t>d</w:t>
      </w:r>
      <w:r w:rsidR="009A7DD7" w:rsidRPr="00577052">
        <w:rPr>
          <w:lang w:val="en-GB"/>
        </w:rPr>
        <w:t xml:space="preserve"> = 0.82, but remained unchanged in the other three groups.</w:t>
      </w:r>
      <w:r w:rsidR="00737555" w:rsidRPr="00577052">
        <w:rPr>
          <w:lang w:val="en-GB"/>
        </w:rPr>
        <w:t xml:space="preserve"> At baseline, the resilient group had significantly fewer anxious symptoms</w:t>
      </w:r>
      <w:r w:rsidR="001712EA" w:rsidRPr="00577052">
        <w:rPr>
          <w:lang w:val="en-GB"/>
        </w:rPr>
        <w:t xml:space="preserve"> than the other three groups</w:t>
      </w:r>
      <w:r w:rsidR="00355C4F" w:rsidRPr="00577052">
        <w:rPr>
          <w:lang w:val="en-GB"/>
        </w:rPr>
        <w:t xml:space="preserve">, </w:t>
      </w:r>
      <w:r w:rsidR="00355C4F" w:rsidRPr="00577052">
        <w:rPr>
          <w:i/>
          <w:iCs/>
          <w:lang w:val="en-GB"/>
        </w:rPr>
        <w:t>F</w:t>
      </w:r>
      <w:r w:rsidR="00355C4F" w:rsidRPr="00577052">
        <w:rPr>
          <w:lang w:val="en-GB"/>
        </w:rPr>
        <w:t xml:space="preserve">(3, 155) = 10.44, </w:t>
      </w:r>
      <w:r w:rsidR="00355C4F" w:rsidRPr="00577052">
        <w:rPr>
          <w:i/>
          <w:iCs/>
          <w:lang w:val="en-GB"/>
        </w:rPr>
        <w:t>p</w:t>
      </w:r>
      <w:r w:rsidR="00355C4F" w:rsidRPr="00577052">
        <w:rPr>
          <w:lang w:val="en-GB"/>
        </w:rPr>
        <w:t xml:space="preserve"> &lt; .001, </w:t>
      </w:r>
      <w:r w:rsidR="00355C4F" w:rsidRPr="00577052">
        <w:rPr>
          <w:i/>
          <w:iCs/>
          <w:color w:val="202124"/>
          <w:shd w:val="clear" w:color="auto" w:fill="FFFFFF"/>
        </w:rPr>
        <w:t>η</w:t>
      </w:r>
      <w:r w:rsidR="00355C4F" w:rsidRPr="00577052">
        <w:rPr>
          <w:i/>
          <w:iCs/>
          <w:color w:val="202124"/>
          <w:vertAlign w:val="superscript"/>
        </w:rPr>
        <w:t>2</w:t>
      </w:r>
      <w:r w:rsidR="00355C4F" w:rsidRPr="00577052">
        <w:rPr>
          <w:color w:val="202124"/>
        </w:rPr>
        <w:t xml:space="preserve"> = 0.17</w:t>
      </w:r>
      <w:r w:rsidR="001712EA" w:rsidRPr="00577052">
        <w:rPr>
          <w:lang w:val="en-GB"/>
        </w:rPr>
        <w:t xml:space="preserve">. </w:t>
      </w:r>
      <w:r w:rsidR="00A35165" w:rsidRPr="00577052">
        <w:rPr>
          <w:lang w:val="en-GB"/>
        </w:rPr>
        <w:t>However, a</w:t>
      </w:r>
      <w:r w:rsidR="001712EA" w:rsidRPr="00577052">
        <w:rPr>
          <w:lang w:val="en-GB"/>
        </w:rPr>
        <w:t xml:space="preserve">t follow-up, </w:t>
      </w:r>
      <w:r w:rsidR="00451A72" w:rsidRPr="00577052">
        <w:rPr>
          <w:lang w:val="en-GB"/>
        </w:rPr>
        <w:t>the difference between resilient and recovery groups became non-significant</w:t>
      </w:r>
      <w:r w:rsidR="008638B2" w:rsidRPr="00577052">
        <w:rPr>
          <w:lang w:val="en-GB"/>
        </w:rPr>
        <w:t xml:space="preserve">, and both </w:t>
      </w:r>
      <w:r w:rsidR="00FE1131" w:rsidRPr="00577052">
        <w:rPr>
          <w:lang w:val="en-GB"/>
        </w:rPr>
        <w:t>reported</w:t>
      </w:r>
      <w:r w:rsidR="008638B2" w:rsidRPr="00577052">
        <w:rPr>
          <w:lang w:val="en-GB"/>
        </w:rPr>
        <w:t xml:space="preserve"> fewer anxious symptoms than the persistent group</w:t>
      </w:r>
      <w:r w:rsidR="000C4E62" w:rsidRPr="00577052">
        <w:rPr>
          <w:lang w:val="en-GB"/>
        </w:rPr>
        <w:t xml:space="preserve">, </w:t>
      </w:r>
      <w:r w:rsidR="000C4E62" w:rsidRPr="00577052">
        <w:rPr>
          <w:i/>
          <w:iCs/>
          <w:lang w:val="en-GB"/>
        </w:rPr>
        <w:t>F</w:t>
      </w:r>
      <w:r w:rsidR="000C4E62" w:rsidRPr="00577052">
        <w:rPr>
          <w:lang w:val="en-GB"/>
        </w:rPr>
        <w:t xml:space="preserve">(3, 154) = 9.60, </w:t>
      </w:r>
      <w:r w:rsidR="000C4E62" w:rsidRPr="00577052">
        <w:rPr>
          <w:i/>
          <w:iCs/>
          <w:lang w:val="en-GB"/>
        </w:rPr>
        <w:t>p</w:t>
      </w:r>
      <w:r w:rsidR="000C4E62" w:rsidRPr="00577052">
        <w:rPr>
          <w:lang w:val="en-GB"/>
        </w:rPr>
        <w:t xml:space="preserve"> &lt; .001, </w:t>
      </w:r>
      <w:r w:rsidR="000C4E62" w:rsidRPr="00577052">
        <w:rPr>
          <w:i/>
          <w:iCs/>
          <w:color w:val="202124"/>
          <w:shd w:val="clear" w:color="auto" w:fill="FFFFFF"/>
        </w:rPr>
        <w:t>η</w:t>
      </w:r>
      <w:r w:rsidR="000C4E62" w:rsidRPr="00577052">
        <w:rPr>
          <w:i/>
          <w:iCs/>
          <w:color w:val="202124"/>
          <w:vertAlign w:val="superscript"/>
        </w:rPr>
        <w:t>2</w:t>
      </w:r>
      <w:r w:rsidR="000C4E62" w:rsidRPr="00577052">
        <w:rPr>
          <w:color w:val="202124"/>
        </w:rPr>
        <w:t xml:space="preserve"> = 0.16</w:t>
      </w:r>
      <w:r w:rsidR="008638B2" w:rsidRPr="00577052">
        <w:rPr>
          <w:lang w:val="en-GB"/>
        </w:rPr>
        <w:t>.</w:t>
      </w:r>
    </w:p>
    <w:p w14:paraId="2AC96B2C" w14:textId="326BB2E1" w:rsidR="00F129F7" w:rsidRDefault="00A45621" w:rsidP="00577052">
      <w:pPr>
        <w:spacing w:line="480" w:lineRule="auto"/>
        <w:contextualSpacing/>
        <w:rPr>
          <w:lang w:val="en-GB"/>
        </w:rPr>
      </w:pPr>
      <w:r w:rsidRPr="00577052">
        <w:rPr>
          <w:b/>
          <w:bCs/>
          <w:lang w:val="en-GB"/>
        </w:rPr>
        <w:t>Mood symptoms as covariates.</w:t>
      </w:r>
      <w:r w:rsidR="003A41FA" w:rsidRPr="00577052">
        <w:rPr>
          <w:lang w:val="en-GB"/>
        </w:rPr>
        <w:t xml:space="preserve"> </w:t>
      </w:r>
      <w:r w:rsidR="00792789">
        <w:rPr>
          <w:lang w:val="en-GB"/>
        </w:rPr>
        <w:t xml:space="preserve">As mentioned, to determine whether the reported associations </w:t>
      </w:r>
      <w:r w:rsidR="00C505DC">
        <w:rPr>
          <w:lang w:val="en-GB"/>
        </w:rPr>
        <w:t xml:space="preserve">were driven by mood symptoms, </w:t>
      </w:r>
      <w:r w:rsidR="00792789">
        <w:rPr>
          <w:lang w:val="en-GB"/>
        </w:rPr>
        <w:t xml:space="preserve">we performed an additional series of mixed ANOVAs on </w:t>
      </w:r>
      <w:r w:rsidR="00792789" w:rsidRPr="00577052">
        <w:rPr>
          <w:lang w:val="en-GB"/>
        </w:rPr>
        <w:t xml:space="preserve">clinical (i.e., serum phosphorus, serum potassium, Ca </w:t>
      </w:r>
      <w:r w:rsidR="00792789" w:rsidRPr="00577052">
        <w:rPr>
          <w:lang w:val="en-GB"/>
        </w:rPr>
        <w:sym w:font="Symbol" w:char="F0B4"/>
      </w:r>
      <w:r w:rsidR="00792789" w:rsidRPr="00577052">
        <w:rPr>
          <w:lang w:val="en-GB"/>
        </w:rPr>
        <w:t xml:space="preserve"> PO4, and </w:t>
      </w:r>
      <w:proofErr w:type="spellStart"/>
      <w:r w:rsidR="00792789" w:rsidRPr="00577052">
        <w:rPr>
          <w:lang w:val="en-GB"/>
        </w:rPr>
        <w:t>IDWGr</w:t>
      </w:r>
      <w:proofErr w:type="spellEnd"/>
      <w:r w:rsidR="00792789" w:rsidRPr="00577052">
        <w:rPr>
          <w:lang w:val="en-GB"/>
        </w:rPr>
        <w:t xml:space="preserve">) and </w:t>
      </w:r>
      <w:r w:rsidR="00C505DC">
        <w:rPr>
          <w:lang w:val="en-GB"/>
        </w:rPr>
        <w:t>health behaviour</w:t>
      </w:r>
      <w:r w:rsidR="00792789" w:rsidRPr="00577052">
        <w:rPr>
          <w:lang w:val="en-GB"/>
        </w:rPr>
        <w:t xml:space="preserve"> outcomes (i.e., self-efficacy, self-management skills, </w:t>
      </w:r>
      <w:r w:rsidR="00C505DC">
        <w:rPr>
          <w:lang w:val="en-GB"/>
        </w:rPr>
        <w:t xml:space="preserve">and </w:t>
      </w:r>
      <w:r w:rsidR="00792789" w:rsidRPr="00577052">
        <w:rPr>
          <w:lang w:val="en-GB"/>
        </w:rPr>
        <w:t xml:space="preserve">treatment adherence) </w:t>
      </w:r>
      <w:r w:rsidR="00505B6D">
        <w:rPr>
          <w:lang w:val="en-GB"/>
        </w:rPr>
        <w:t>while controlling for change scores of depressive and anxious symptoms. Importantly, the results remained largely unchanged even after considering the effects of mood symptoms,</w:t>
      </w:r>
      <w:r w:rsidR="00062127">
        <w:rPr>
          <w:lang w:val="en-GB"/>
        </w:rPr>
        <w:t xml:space="preserve"> </w:t>
      </w:r>
      <w:r w:rsidR="005849F8">
        <w:rPr>
          <w:lang w:val="en-GB"/>
        </w:rPr>
        <w:t>indica</w:t>
      </w:r>
      <w:r w:rsidR="005849F8" w:rsidRPr="00577052">
        <w:rPr>
          <w:lang w:val="en-GB"/>
        </w:rPr>
        <w:t xml:space="preserve">ting </w:t>
      </w:r>
      <w:r w:rsidR="00F856E3" w:rsidRPr="00577052">
        <w:rPr>
          <w:lang w:val="en-GB"/>
        </w:rPr>
        <w:t xml:space="preserve">that the </w:t>
      </w:r>
      <w:r w:rsidR="00102A2D">
        <w:rPr>
          <w:lang w:val="en-GB"/>
        </w:rPr>
        <w:t>associations</w:t>
      </w:r>
      <w:r w:rsidR="00F856E3" w:rsidRPr="00577052">
        <w:rPr>
          <w:lang w:val="en-GB"/>
        </w:rPr>
        <w:t xml:space="preserve"> of </w:t>
      </w:r>
      <w:r w:rsidR="00A92D0E" w:rsidRPr="00577052">
        <w:rPr>
          <w:lang w:val="en-GB"/>
        </w:rPr>
        <w:t>SCCs</w:t>
      </w:r>
      <w:r w:rsidR="00CB0C63" w:rsidRPr="00577052">
        <w:rPr>
          <w:lang w:val="en-GB"/>
        </w:rPr>
        <w:t xml:space="preserve"> </w:t>
      </w:r>
      <w:r w:rsidR="00102A2D">
        <w:rPr>
          <w:lang w:val="en-GB"/>
        </w:rPr>
        <w:t>with</w:t>
      </w:r>
      <w:r w:rsidR="00F856E3" w:rsidRPr="00577052">
        <w:rPr>
          <w:lang w:val="en-GB"/>
        </w:rPr>
        <w:t xml:space="preserve"> clinical and </w:t>
      </w:r>
      <w:r w:rsidR="00062127">
        <w:rPr>
          <w:lang w:val="en-GB"/>
        </w:rPr>
        <w:t>health behaviour</w:t>
      </w:r>
      <w:r w:rsidR="00F856E3" w:rsidRPr="00577052">
        <w:rPr>
          <w:lang w:val="en-GB"/>
        </w:rPr>
        <w:t xml:space="preserve"> outcomes were not </w:t>
      </w:r>
      <w:r w:rsidR="00765FA0">
        <w:rPr>
          <w:lang w:val="en-GB"/>
        </w:rPr>
        <w:t>fully accounted</w:t>
      </w:r>
      <w:r w:rsidR="00F856E3" w:rsidRPr="00577052">
        <w:rPr>
          <w:lang w:val="en-GB"/>
        </w:rPr>
        <w:t xml:space="preserve"> by mood.</w:t>
      </w:r>
    </w:p>
    <w:p w14:paraId="56E196DD" w14:textId="7C87AF57" w:rsidR="00F129F7" w:rsidRPr="0071132B" w:rsidRDefault="00F129F7" w:rsidP="00F129F7">
      <w:pPr>
        <w:spacing w:line="480" w:lineRule="auto"/>
        <w:contextualSpacing/>
        <w:rPr>
          <w:i/>
          <w:iCs/>
          <w:sz w:val="18"/>
          <w:szCs w:val="18"/>
          <w:lang w:val="en-GB"/>
        </w:rPr>
      </w:pPr>
      <w:r w:rsidRPr="0071132B">
        <w:rPr>
          <w:sz w:val="18"/>
          <w:szCs w:val="18"/>
          <w:lang w:val="en-GB"/>
        </w:rPr>
        <w:lastRenderedPageBreak/>
        <w:t>Table 2</w:t>
      </w:r>
      <w:r w:rsidR="00BC6810" w:rsidRPr="0071132B">
        <w:rPr>
          <w:sz w:val="18"/>
          <w:szCs w:val="18"/>
          <w:lang w:val="en-GB"/>
        </w:rPr>
        <w:t xml:space="preserve">. </w:t>
      </w:r>
      <w:r w:rsidR="00BC6810" w:rsidRPr="0071132B">
        <w:rPr>
          <w:i/>
          <w:iCs/>
          <w:sz w:val="18"/>
          <w:szCs w:val="18"/>
          <w:lang w:val="en-GB"/>
        </w:rPr>
        <w:t xml:space="preserve">Mixed ANOVAs comparing clinical and patient-reported outcomes </w:t>
      </w:r>
      <w:r w:rsidR="00BC6810" w:rsidRPr="0071132B">
        <w:rPr>
          <w:i/>
          <w:iCs/>
          <w:sz w:val="18"/>
          <w:szCs w:val="18"/>
          <w:lang w:val="en-US"/>
        </w:rPr>
        <w:t>among four trajectory groups across two time points</w:t>
      </w:r>
      <w:r w:rsidR="00BC6810">
        <w:rPr>
          <w:i/>
          <w:iCs/>
          <w:sz w:val="18"/>
          <w:szCs w:val="18"/>
          <w:lang w:val="en-US"/>
        </w:rPr>
        <w:t>.</w:t>
      </w:r>
    </w:p>
    <w:tbl>
      <w:tblPr>
        <w:tblW w:w="11482" w:type="dxa"/>
        <w:tblInd w:w="-1276" w:type="dxa"/>
        <w:tblLook w:val="04A0" w:firstRow="1" w:lastRow="0" w:firstColumn="1" w:lastColumn="0" w:noHBand="0" w:noVBand="1"/>
      </w:tblPr>
      <w:tblGrid>
        <w:gridCol w:w="281"/>
        <w:gridCol w:w="284"/>
        <w:gridCol w:w="995"/>
        <w:gridCol w:w="1417"/>
        <w:gridCol w:w="1418"/>
        <w:gridCol w:w="1417"/>
        <w:gridCol w:w="1418"/>
        <w:gridCol w:w="283"/>
        <w:gridCol w:w="1418"/>
        <w:gridCol w:w="1276"/>
        <w:gridCol w:w="1275"/>
      </w:tblGrid>
      <w:tr w:rsidR="00F129F7" w:rsidRPr="00F129F7" w14:paraId="48FA626D" w14:textId="77777777" w:rsidTr="009378CB">
        <w:trPr>
          <w:trHeight w:val="458"/>
        </w:trPr>
        <w:tc>
          <w:tcPr>
            <w:tcW w:w="1560" w:type="dxa"/>
            <w:gridSpan w:val="3"/>
            <w:vMerge w:val="restart"/>
            <w:tcBorders>
              <w:top w:val="single" w:sz="4" w:space="0" w:color="auto"/>
              <w:left w:val="nil"/>
              <w:bottom w:val="single" w:sz="4" w:space="0" w:color="000000"/>
              <w:right w:val="nil"/>
            </w:tcBorders>
            <w:shd w:val="clear" w:color="auto" w:fill="auto"/>
            <w:noWrap/>
            <w:hideMark/>
          </w:tcPr>
          <w:p w14:paraId="2765748D" w14:textId="77777777" w:rsidR="00F129F7" w:rsidRPr="008253C4" w:rsidRDefault="00F129F7" w:rsidP="008253C4">
            <w:pPr>
              <w:jc w:val="center"/>
              <w:rPr>
                <w:color w:val="000000"/>
                <w:sz w:val="18"/>
                <w:szCs w:val="18"/>
              </w:rPr>
            </w:pPr>
            <w:r w:rsidRPr="008253C4">
              <w:rPr>
                <w:color w:val="000000"/>
                <w:sz w:val="18"/>
                <w:szCs w:val="18"/>
              </w:rPr>
              <w:t> </w:t>
            </w:r>
          </w:p>
        </w:tc>
        <w:tc>
          <w:tcPr>
            <w:tcW w:w="1417" w:type="dxa"/>
            <w:tcBorders>
              <w:top w:val="single" w:sz="4" w:space="0" w:color="auto"/>
              <w:left w:val="nil"/>
              <w:bottom w:val="single" w:sz="4" w:space="0" w:color="auto"/>
              <w:right w:val="nil"/>
            </w:tcBorders>
            <w:shd w:val="clear" w:color="auto" w:fill="auto"/>
            <w:hideMark/>
          </w:tcPr>
          <w:p w14:paraId="7A351E02" w14:textId="77777777" w:rsidR="00F129F7" w:rsidRPr="008253C4" w:rsidRDefault="00F129F7" w:rsidP="008253C4">
            <w:pPr>
              <w:jc w:val="center"/>
              <w:rPr>
                <w:color w:val="000000"/>
                <w:sz w:val="18"/>
                <w:szCs w:val="18"/>
              </w:rPr>
            </w:pPr>
            <w:r w:rsidRPr="008253C4">
              <w:rPr>
                <w:color w:val="000000"/>
                <w:sz w:val="18"/>
                <w:szCs w:val="18"/>
              </w:rPr>
              <w:t>Resilient</w:t>
            </w:r>
            <w:r w:rsidRPr="008253C4">
              <w:rPr>
                <w:color w:val="000000"/>
                <w:sz w:val="18"/>
                <w:szCs w:val="18"/>
              </w:rPr>
              <w:br/>
              <w:t>(N = 96; 60.4%)</w:t>
            </w:r>
          </w:p>
        </w:tc>
        <w:tc>
          <w:tcPr>
            <w:tcW w:w="1418" w:type="dxa"/>
            <w:tcBorders>
              <w:top w:val="single" w:sz="4" w:space="0" w:color="auto"/>
              <w:left w:val="nil"/>
              <w:bottom w:val="single" w:sz="4" w:space="0" w:color="auto"/>
              <w:right w:val="nil"/>
            </w:tcBorders>
            <w:shd w:val="clear" w:color="auto" w:fill="auto"/>
            <w:hideMark/>
          </w:tcPr>
          <w:p w14:paraId="62CD3C4B" w14:textId="77777777" w:rsidR="00F129F7" w:rsidRPr="008253C4" w:rsidRDefault="00F129F7" w:rsidP="008253C4">
            <w:pPr>
              <w:jc w:val="center"/>
              <w:rPr>
                <w:color w:val="000000"/>
                <w:sz w:val="18"/>
                <w:szCs w:val="18"/>
              </w:rPr>
            </w:pPr>
            <w:r w:rsidRPr="008253C4">
              <w:rPr>
                <w:color w:val="000000"/>
                <w:sz w:val="18"/>
                <w:szCs w:val="18"/>
              </w:rPr>
              <w:t>Persistent</w:t>
            </w:r>
            <w:r w:rsidRPr="008253C4">
              <w:rPr>
                <w:color w:val="000000"/>
                <w:sz w:val="18"/>
                <w:szCs w:val="18"/>
              </w:rPr>
              <w:br/>
              <w:t>(N = 14; 8.8%)</w:t>
            </w:r>
          </w:p>
        </w:tc>
        <w:tc>
          <w:tcPr>
            <w:tcW w:w="1417" w:type="dxa"/>
            <w:tcBorders>
              <w:top w:val="single" w:sz="4" w:space="0" w:color="auto"/>
              <w:left w:val="nil"/>
              <w:bottom w:val="single" w:sz="4" w:space="0" w:color="auto"/>
              <w:right w:val="nil"/>
            </w:tcBorders>
            <w:shd w:val="clear" w:color="auto" w:fill="auto"/>
            <w:hideMark/>
          </w:tcPr>
          <w:p w14:paraId="768EF5F7" w14:textId="77777777" w:rsidR="00F129F7" w:rsidRPr="008253C4" w:rsidRDefault="00F129F7" w:rsidP="008253C4">
            <w:pPr>
              <w:jc w:val="center"/>
              <w:rPr>
                <w:color w:val="000000"/>
                <w:sz w:val="18"/>
                <w:szCs w:val="18"/>
              </w:rPr>
            </w:pPr>
            <w:r w:rsidRPr="008253C4">
              <w:rPr>
                <w:color w:val="000000"/>
                <w:sz w:val="18"/>
                <w:szCs w:val="18"/>
              </w:rPr>
              <w:t>Deterioration</w:t>
            </w:r>
            <w:r w:rsidRPr="008253C4">
              <w:rPr>
                <w:color w:val="000000"/>
                <w:sz w:val="18"/>
                <w:szCs w:val="18"/>
              </w:rPr>
              <w:br/>
              <w:t>(N = 28; 17.6%)</w:t>
            </w:r>
          </w:p>
        </w:tc>
        <w:tc>
          <w:tcPr>
            <w:tcW w:w="1418" w:type="dxa"/>
            <w:tcBorders>
              <w:top w:val="single" w:sz="4" w:space="0" w:color="auto"/>
              <w:left w:val="nil"/>
              <w:bottom w:val="single" w:sz="4" w:space="0" w:color="auto"/>
              <w:right w:val="nil"/>
            </w:tcBorders>
            <w:shd w:val="clear" w:color="auto" w:fill="auto"/>
            <w:hideMark/>
          </w:tcPr>
          <w:p w14:paraId="657EF412" w14:textId="77777777" w:rsidR="00F129F7" w:rsidRPr="008253C4" w:rsidRDefault="00F129F7" w:rsidP="008253C4">
            <w:pPr>
              <w:jc w:val="center"/>
              <w:rPr>
                <w:color w:val="000000"/>
                <w:sz w:val="18"/>
                <w:szCs w:val="18"/>
              </w:rPr>
            </w:pPr>
            <w:r w:rsidRPr="008253C4">
              <w:rPr>
                <w:color w:val="000000"/>
                <w:sz w:val="18"/>
                <w:szCs w:val="18"/>
              </w:rPr>
              <w:t>Recovery</w:t>
            </w:r>
            <w:r w:rsidRPr="008253C4">
              <w:rPr>
                <w:color w:val="000000"/>
                <w:sz w:val="18"/>
                <w:szCs w:val="18"/>
              </w:rPr>
              <w:br/>
              <w:t>(N = 21; 13.2%)</w:t>
            </w:r>
          </w:p>
        </w:tc>
        <w:tc>
          <w:tcPr>
            <w:tcW w:w="283" w:type="dxa"/>
            <w:tcBorders>
              <w:top w:val="single" w:sz="4" w:space="0" w:color="auto"/>
              <w:left w:val="nil"/>
              <w:bottom w:val="nil"/>
              <w:right w:val="nil"/>
            </w:tcBorders>
            <w:shd w:val="clear" w:color="auto" w:fill="auto"/>
            <w:noWrap/>
            <w:hideMark/>
          </w:tcPr>
          <w:p w14:paraId="526653BE" w14:textId="77777777" w:rsidR="00F129F7" w:rsidRPr="008253C4" w:rsidRDefault="00F129F7" w:rsidP="008253C4">
            <w:pPr>
              <w:jc w:val="center"/>
              <w:rPr>
                <w:color w:val="000000"/>
                <w:sz w:val="18"/>
                <w:szCs w:val="18"/>
              </w:rPr>
            </w:pPr>
            <w:r w:rsidRPr="008253C4">
              <w:rPr>
                <w:color w:val="000000"/>
                <w:sz w:val="18"/>
                <w:szCs w:val="18"/>
              </w:rPr>
              <w:t> </w:t>
            </w:r>
          </w:p>
        </w:tc>
        <w:tc>
          <w:tcPr>
            <w:tcW w:w="3969" w:type="dxa"/>
            <w:gridSpan w:val="3"/>
            <w:tcBorders>
              <w:top w:val="single" w:sz="4" w:space="0" w:color="auto"/>
              <w:left w:val="nil"/>
              <w:bottom w:val="single" w:sz="4" w:space="0" w:color="auto"/>
              <w:right w:val="nil"/>
            </w:tcBorders>
            <w:shd w:val="clear" w:color="auto" w:fill="auto"/>
            <w:noWrap/>
            <w:vAlign w:val="center"/>
            <w:hideMark/>
          </w:tcPr>
          <w:p w14:paraId="3AA78DDE" w14:textId="77777777" w:rsidR="00F129F7" w:rsidRPr="008253C4" w:rsidRDefault="00F129F7" w:rsidP="000D542C">
            <w:pPr>
              <w:jc w:val="center"/>
              <w:rPr>
                <w:color w:val="000000"/>
                <w:sz w:val="18"/>
                <w:szCs w:val="18"/>
              </w:rPr>
            </w:pPr>
            <w:r w:rsidRPr="008253C4">
              <w:rPr>
                <w:color w:val="000000"/>
                <w:sz w:val="18"/>
                <w:szCs w:val="18"/>
              </w:rPr>
              <w:t>Mixed ANOVA</w:t>
            </w:r>
          </w:p>
        </w:tc>
      </w:tr>
      <w:tr w:rsidR="00F129F7" w:rsidRPr="00F129F7" w14:paraId="29E98C6F" w14:textId="77777777" w:rsidTr="009378CB">
        <w:trPr>
          <w:trHeight w:val="320"/>
        </w:trPr>
        <w:tc>
          <w:tcPr>
            <w:tcW w:w="1560" w:type="dxa"/>
            <w:gridSpan w:val="3"/>
            <w:vMerge/>
            <w:tcBorders>
              <w:top w:val="single" w:sz="4" w:space="0" w:color="auto"/>
              <w:left w:val="nil"/>
              <w:bottom w:val="single" w:sz="4" w:space="0" w:color="000000"/>
              <w:right w:val="nil"/>
            </w:tcBorders>
            <w:hideMark/>
          </w:tcPr>
          <w:p w14:paraId="489ED533" w14:textId="77777777" w:rsidR="00F129F7" w:rsidRPr="008253C4" w:rsidRDefault="00F129F7" w:rsidP="008253C4">
            <w:pPr>
              <w:rPr>
                <w:color w:val="000000"/>
                <w:sz w:val="18"/>
                <w:szCs w:val="18"/>
              </w:rPr>
            </w:pPr>
          </w:p>
        </w:tc>
        <w:tc>
          <w:tcPr>
            <w:tcW w:w="5670" w:type="dxa"/>
            <w:gridSpan w:val="4"/>
            <w:tcBorders>
              <w:top w:val="single" w:sz="4" w:space="0" w:color="auto"/>
              <w:left w:val="nil"/>
              <w:bottom w:val="single" w:sz="4" w:space="0" w:color="auto"/>
              <w:right w:val="nil"/>
            </w:tcBorders>
            <w:shd w:val="clear" w:color="auto" w:fill="auto"/>
            <w:noWrap/>
            <w:vAlign w:val="center"/>
            <w:hideMark/>
          </w:tcPr>
          <w:p w14:paraId="1065EB0F" w14:textId="77777777" w:rsidR="00F129F7" w:rsidRPr="008253C4" w:rsidRDefault="00F129F7" w:rsidP="000D542C">
            <w:pPr>
              <w:jc w:val="center"/>
              <w:rPr>
                <w:color w:val="000000"/>
                <w:sz w:val="18"/>
                <w:szCs w:val="18"/>
              </w:rPr>
            </w:pPr>
            <w:r w:rsidRPr="008253C4">
              <w:rPr>
                <w:color w:val="000000"/>
                <w:sz w:val="18"/>
                <w:szCs w:val="18"/>
              </w:rPr>
              <w:t>Mean (SD)</w:t>
            </w:r>
          </w:p>
        </w:tc>
        <w:tc>
          <w:tcPr>
            <w:tcW w:w="283" w:type="dxa"/>
            <w:tcBorders>
              <w:top w:val="nil"/>
              <w:left w:val="nil"/>
              <w:bottom w:val="single" w:sz="4" w:space="0" w:color="auto"/>
              <w:right w:val="nil"/>
            </w:tcBorders>
            <w:shd w:val="clear" w:color="auto" w:fill="auto"/>
            <w:noWrap/>
            <w:hideMark/>
          </w:tcPr>
          <w:p w14:paraId="30F756A6" w14:textId="77777777" w:rsidR="00F129F7" w:rsidRPr="008253C4" w:rsidRDefault="00F129F7" w:rsidP="008253C4">
            <w:pPr>
              <w:jc w:val="center"/>
              <w:rPr>
                <w:color w:val="000000"/>
                <w:sz w:val="18"/>
                <w:szCs w:val="18"/>
              </w:rPr>
            </w:pPr>
            <w:r w:rsidRPr="008253C4">
              <w:rPr>
                <w:color w:val="000000"/>
                <w:sz w:val="18"/>
                <w:szCs w:val="18"/>
              </w:rPr>
              <w:t> </w:t>
            </w:r>
          </w:p>
        </w:tc>
        <w:tc>
          <w:tcPr>
            <w:tcW w:w="1418" w:type="dxa"/>
            <w:tcBorders>
              <w:top w:val="nil"/>
              <w:left w:val="nil"/>
              <w:bottom w:val="single" w:sz="4" w:space="0" w:color="auto"/>
              <w:right w:val="nil"/>
            </w:tcBorders>
            <w:shd w:val="clear" w:color="auto" w:fill="auto"/>
            <w:noWrap/>
            <w:vAlign w:val="center"/>
            <w:hideMark/>
          </w:tcPr>
          <w:p w14:paraId="1BC3DAA0" w14:textId="77777777" w:rsidR="00F129F7" w:rsidRPr="008253C4" w:rsidRDefault="00F129F7" w:rsidP="000D542C">
            <w:pPr>
              <w:jc w:val="center"/>
              <w:rPr>
                <w:color w:val="000000"/>
                <w:sz w:val="18"/>
                <w:szCs w:val="18"/>
              </w:rPr>
            </w:pPr>
            <w:r w:rsidRPr="008253C4">
              <w:rPr>
                <w:color w:val="000000"/>
                <w:sz w:val="18"/>
                <w:szCs w:val="18"/>
              </w:rPr>
              <w:t>Trajectory</w:t>
            </w:r>
          </w:p>
        </w:tc>
        <w:tc>
          <w:tcPr>
            <w:tcW w:w="1276" w:type="dxa"/>
            <w:tcBorders>
              <w:top w:val="nil"/>
              <w:left w:val="nil"/>
              <w:bottom w:val="single" w:sz="4" w:space="0" w:color="auto"/>
              <w:right w:val="nil"/>
            </w:tcBorders>
            <w:shd w:val="clear" w:color="auto" w:fill="auto"/>
            <w:noWrap/>
            <w:vAlign w:val="center"/>
            <w:hideMark/>
          </w:tcPr>
          <w:p w14:paraId="43A6E811" w14:textId="77777777" w:rsidR="00F129F7" w:rsidRPr="008253C4" w:rsidRDefault="00F129F7" w:rsidP="000D542C">
            <w:pPr>
              <w:jc w:val="center"/>
              <w:rPr>
                <w:color w:val="000000"/>
                <w:sz w:val="18"/>
                <w:szCs w:val="18"/>
              </w:rPr>
            </w:pPr>
            <w:r w:rsidRPr="008253C4">
              <w:rPr>
                <w:color w:val="000000"/>
                <w:sz w:val="18"/>
                <w:szCs w:val="18"/>
              </w:rPr>
              <w:t>Time</w:t>
            </w:r>
          </w:p>
        </w:tc>
        <w:tc>
          <w:tcPr>
            <w:tcW w:w="1275" w:type="dxa"/>
            <w:tcBorders>
              <w:top w:val="nil"/>
              <w:left w:val="nil"/>
              <w:bottom w:val="single" w:sz="4" w:space="0" w:color="auto"/>
              <w:right w:val="nil"/>
            </w:tcBorders>
            <w:shd w:val="clear" w:color="auto" w:fill="auto"/>
            <w:noWrap/>
            <w:vAlign w:val="center"/>
            <w:hideMark/>
          </w:tcPr>
          <w:p w14:paraId="7521BA00" w14:textId="77777777" w:rsidR="00F129F7" w:rsidRPr="008253C4" w:rsidRDefault="00F129F7" w:rsidP="000D542C">
            <w:pPr>
              <w:jc w:val="center"/>
              <w:rPr>
                <w:color w:val="000000"/>
                <w:sz w:val="18"/>
                <w:szCs w:val="18"/>
              </w:rPr>
            </w:pPr>
            <w:r w:rsidRPr="008253C4">
              <w:rPr>
                <w:color w:val="000000"/>
                <w:sz w:val="18"/>
                <w:szCs w:val="18"/>
              </w:rPr>
              <w:t>Interaction</w:t>
            </w:r>
          </w:p>
        </w:tc>
      </w:tr>
      <w:tr w:rsidR="00F129F7" w:rsidRPr="00F129F7" w14:paraId="7347BBB6" w14:textId="77777777" w:rsidTr="009378CB">
        <w:trPr>
          <w:trHeight w:val="320"/>
        </w:trPr>
        <w:tc>
          <w:tcPr>
            <w:tcW w:w="1560" w:type="dxa"/>
            <w:gridSpan w:val="3"/>
            <w:tcBorders>
              <w:top w:val="nil"/>
              <w:left w:val="nil"/>
              <w:bottom w:val="nil"/>
              <w:right w:val="nil"/>
            </w:tcBorders>
            <w:shd w:val="clear" w:color="auto" w:fill="auto"/>
            <w:noWrap/>
            <w:hideMark/>
          </w:tcPr>
          <w:p w14:paraId="7FBD50AB" w14:textId="77777777" w:rsidR="00F129F7" w:rsidRPr="008253C4" w:rsidRDefault="00F129F7" w:rsidP="008253C4">
            <w:pPr>
              <w:rPr>
                <w:color w:val="000000"/>
                <w:sz w:val="18"/>
                <w:szCs w:val="18"/>
              </w:rPr>
            </w:pPr>
            <w:r w:rsidRPr="008253C4">
              <w:rPr>
                <w:color w:val="000000"/>
                <w:sz w:val="18"/>
                <w:szCs w:val="18"/>
              </w:rPr>
              <w:t>Clinical outcomes</w:t>
            </w:r>
          </w:p>
        </w:tc>
        <w:tc>
          <w:tcPr>
            <w:tcW w:w="1417" w:type="dxa"/>
            <w:tcBorders>
              <w:top w:val="nil"/>
              <w:left w:val="nil"/>
              <w:bottom w:val="nil"/>
              <w:right w:val="nil"/>
            </w:tcBorders>
            <w:shd w:val="clear" w:color="auto" w:fill="auto"/>
            <w:noWrap/>
            <w:hideMark/>
          </w:tcPr>
          <w:p w14:paraId="1CCCA1DD" w14:textId="77777777" w:rsidR="00F129F7" w:rsidRPr="008253C4" w:rsidRDefault="00F129F7" w:rsidP="008253C4">
            <w:pPr>
              <w:rPr>
                <w:color w:val="000000"/>
                <w:sz w:val="18"/>
                <w:szCs w:val="18"/>
              </w:rPr>
            </w:pPr>
          </w:p>
        </w:tc>
        <w:tc>
          <w:tcPr>
            <w:tcW w:w="1418" w:type="dxa"/>
            <w:tcBorders>
              <w:top w:val="nil"/>
              <w:left w:val="nil"/>
              <w:bottom w:val="nil"/>
              <w:right w:val="nil"/>
            </w:tcBorders>
            <w:shd w:val="clear" w:color="auto" w:fill="auto"/>
            <w:noWrap/>
            <w:hideMark/>
          </w:tcPr>
          <w:p w14:paraId="716A6AEE" w14:textId="77777777" w:rsidR="00F129F7" w:rsidRPr="008253C4" w:rsidRDefault="00F129F7" w:rsidP="008253C4">
            <w:pPr>
              <w:jc w:val="center"/>
              <w:rPr>
                <w:sz w:val="18"/>
                <w:szCs w:val="18"/>
              </w:rPr>
            </w:pPr>
          </w:p>
        </w:tc>
        <w:tc>
          <w:tcPr>
            <w:tcW w:w="1417" w:type="dxa"/>
            <w:tcBorders>
              <w:top w:val="nil"/>
              <w:left w:val="nil"/>
              <w:bottom w:val="nil"/>
              <w:right w:val="nil"/>
            </w:tcBorders>
            <w:shd w:val="clear" w:color="auto" w:fill="auto"/>
            <w:noWrap/>
            <w:hideMark/>
          </w:tcPr>
          <w:p w14:paraId="1A952FE3"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685AE204"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019DA965"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1878376C"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56F2F8C2"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423E1D9B" w14:textId="77777777" w:rsidR="00F129F7" w:rsidRPr="008253C4" w:rsidRDefault="00F129F7" w:rsidP="008253C4">
            <w:pPr>
              <w:jc w:val="center"/>
              <w:rPr>
                <w:sz w:val="18"/>
                <w:szCs w:val="18"/>
              </w:rPr>
            </w:pPr>
          </w:p>
        </w:tc>
      </w:tr>
      <w:tr w:rsidR="00F129F7" w:rsidRPr="00F129F7" w14:paraId="670AE923" w14:textId="77777777" w:rsidTr="009378CB">
        <w:trPr>
          <w:trHeight w:val="320"/>
        </w:trPr>
        <w:tc>
          <w:tcPr>
            <w:tcW w:w="281" w:type="dxa"/>
            <w:tcBorders>
              <w:top w:val="nil"/>
              <w:left w:val="nil"/>
              <w:bottom w:val="nil"/>
              <w:right w:val="nil"/>
            </w:tcBorders>
            <w:shd w:val="clear" w:color="auto" w:fill="auto"/>
            <w:noWrap/>
            <w:hideMark/>
          </w:tcPr>
          <w:p w14:paraId="50FAC781"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3FC48A90" w14:textId="77777777" w:rsidR="00F129F7" w:rsidRPr="008253C4" w:rsidRDefault="00F129F7" w:rsidP="008253C4">
            <w:pPr>
              <w:rPr>
                <w:color w:val="000000"/>
                <w:sz w:val="18"/>
                <w:szCs w:val="18"/>
              </w:rPr>
            </w:pPr>
            <w:r w:rsidRPr="008253C4">
              <w:rPr>
                <w:color w:val="000000"/>
                <w:sz w:val="18"/>
                <w:szCs w:val="18"/>
              </w:rPr>
              <w:t>Serum phosphorus</w:t>
            </w:r>
          </w:p>
        </w:tc>
        <w:tc>
          <w:tcPr>
            <w:tcW w:w="1418" w:type="dxa"/>
            <w:tcBorders>
              <w:top w:val="nil"/>
              <w:left w:val="nil"/>
              <w:bottom w:val="nil"/>
              <w:right w:val="nil"/>
            </w:tcBorders>
            <w:shd w:val="clear" w:color="auto" w:fill="auto"/>
            <w:noWrap/>
            <w:hideMark/>
          </w:tcPr>
          <w:p w14:paraId="720482F6"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3221109A"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3986B9E4"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0096206C"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1A667261"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673EADFB"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6AA56B1B" w14:textId="77777777" w:rsidR="00F129F7" w:rsidRPr="008253C4" w:rsidRDefault="00F129F7" w:rsidP="008253C4">
            <w:pPr>
              <w:jc w:val="center"/>
              <w:rPr>
                <w:sz w:val="18"/>
                <w:szCs w:val="18"/>
              </w:rPr>
            </w:pPr>
          </w:p>
        </w:tc>
      </w:tr>
      <w:tr w:rsidR="00F129F7" w:rsidRPr="00F129F7" w14:paraId="61673DAB" w14:textId="77777777" w:rsidTr="009378CB">
        <w:trPr>
          <w:trHeight w:val="320"/>
        </w:trPr>
        <w:tc>
          <w:tcPr>
            <w:tcW w:w="281" w:type="dxa"/>
            <w:tcBorders>
              <w:top w:val="nil"/>
              <w:left w:val="nil"/>
              <w:bottom w:val="nil"/>
              <w:right w:val="nil"/>
            </w:tcBorders>
            <w:shd w:val="clear" w:color="auto" w:fill="auto"/>
            <w:noWrap/>
            <w:hideMark/>
          </w:tcPr>
          <w:p w14:paraId="289EC6FF" w14:textId="77777777" w:rsidR="00F129F7" w:rsidRPr="008253C4" w:rsidRDefault="00F129F7" w:rsidP="008253C4">
            <w:pPr>
              <w:jc w:val="center"/>
              <w:rPr>
                <w:sz w:val="18"/>
                <w:szCs w:val="18"/>
              </w:rPr>
            </w:pPr>
          </w:p>
        </w:tc>
        <w:tc>
          <w:tcPr>
            <w:tcW w:w="284" w:type="dxa"/>
            <w:tcBorders>
              <w:top w:val="nil"/>
              <w:left w:val="nil"/>
              <w:bottom w:val="nil"/>
              <w:right w:val="nil"/>
            </w:tcBorders>
            <w:shd w:val="clear" w:color="auto" w:fill="auto"/>
            <w:noWrap/>
            <w:hideMark/>
          </w:tcPr>
          <w:p w14:paraId="6E44F1F6"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66035596"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28F75900" w14:textId="77777777" w:rsidR="00F129F7" w:rsidRPr="008253C4" w:rsidRDefault="00F129F7" w:rsidP="008253C4">
            <w:pPr>
              <w:jc w:val="center"/>
              <w:rPr>
                <w:color w:val="000000"/>
                <w:sz w:val="18"/>
                <w:szCs w:val="18"/>
              </w:rPr>
            </w:pPr>
            <w:r w:rsidRPr="008253C4">
              <w:rPr>
                <w:color w:val="000000"/>
                <w:sz w:val="18"/>
                <w:szCs w:val="18"/>
              </w:rPr>
              <w:t>5.12 (1.32)</w:t>
            </w:r>
          </w:p>
        </w:tc>
        <w:tc>
          <w:tcPr>
            <w:tcW w:w="1418" w:type="dxa"/>
            <w:tcBorders>
              <w:top w:val="nil"/>
              <w:left w:val="nil"/>
              <w:bottom w:val="nil"/>
              <w:right w:val="nil"/>
            </w:tcBorders>
            <w:shd w:val="clear" w:color="auto" w:fill="auto"/>
            <w:noWrap/>
            <w:hideMark/>
          </w:tcPr>
          <w:p w14:paraId="341E11FE" w14:textId="77777777" w:rsidR="00F129F7" w:rsidRPr="008253C4" w:rsidRDefault="00F129F7" w:rsidP="008253C4">
            <w:pPr>
              <w:jc w:val="center"/>
              <w:rPr>
                <w:color w:val="000000"/>
                <w:sz w:val="18"/>
                <w:szCs w:val="18"/>
              </w:rPr>
            </w:pPr>
            <w:r w:rsidRPr="008253C4">
              <w:rPr>
                <w:color w:val="000000"/>
                <w:sz w:val="18"/>
                <w:szCs w:val="18"/>
              </w:rPr>
              <w:t>5.36 (1.28)</w:t>
            </w:r>
          </w:p>
        </w:tc>
        <w:tc>
          <w:tcPr>
            <w:tcW w:w="1417" w:type="dxa"/>
            <w:tcBorders>
              <w:top w:val="nil"/>
              <w:left w:val="nil"/>
              <w:bottom w:val="nil"/>
              <w:right w:val="nil"/>
            </w:tcBorders>
            <w:shd w:val="clear" w:color="auto" w:fill="auto"/>
            <w:noWrap/>
            <w:hideMark/>
          </w:tcPr>
          <w:p w14:paraId="00A51192" w14:textId="77777777" w:rsidR="00F129F7" w:rsidRPr="008253C4" w:rsidRDefault="00F129F7" w:rsidP="008253C4">
            <w:pPr>
              <w:jc w:val="center"/>
              <w:rPr>
                <w:color w:val="000000"/>
                <w:sz w:val="18"/>
                <w:szCs w:val="18"/>
              </w:rPr>
            </w:pPr>
            <w:r w:rsidRPr="008253C4">
              <w:rPr>
                <w:color w:val="000000"/>
                <w:sz w:val="18"/>
                <w:szCs w:val="18"/>
              </w:rPr>
              <w:t>5.19 (1.30)</w:t>
            </w:r>
          </w:p>
        </w:tc>
        <w:tc>
          <w:tcPr>
            <w:tcW w:w="1418" w:type="dxa"/>
            <w:tcBorders>
              <w:top w:val="nil"/>
              <w:left w:val="nil"/>
              <w:bottom w:val="nil"/>
              <w:right w:val="nil"/>
            </w:tcBorders>
            <w:shd w:val="clear" w:color="auto" w:fill="auto"/>
            <w:noWrap/>
            <w:hideMark/>
          </w:tcPr>
          <w:p w14:paraId="579FCEC7" w14:textId="77777777" w:rsidR="00F129F7" w:rsidRPr="008253C4" w:rsidRDefault="00F129F7" w:rsidP="008253C4">
            <w:pPr>
              <w:jc w:val="center"/>
              <w:rPr>
                <w:color w:val="000000"/>
                <w:sz w:val="18"/>
                <w:szCs w:val="18"/>
              </w:rPr>
            </w:pPr>
            <w:r w:rsidRPr="008253C4">
              <w:rPr>
                <w:color w:val="000000"/>
                <w:sz w:val="18"/>
                <w:szCs w:val="18"/>
              </w:rPr>
              <w:t>5.16 (1.42)</w:t>
            </w:r>
          </w:p>
        </w:tc>
        <w:tc>
          <w:tcPr>
            <w:tcW w:w="283" w:type="dxa"/>
            <w:tcBorders>
              <w:top w:val="nil"/>
              <w:left w:val="nil"/>
              <w:bottom w:val="nil"/>
              <w:right w:val="nil"/>
            </w:tcBorders>
            <w:shd w:val="clear" w:color="auto" w:fill="auto"/>
            <w:noWrap/>
            <w:hideMark/>
          </w:tcPr>
          <w:p w14:paraId="28CC7FBD"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484D33A0"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142) = 1.44,</w:t>
            </w:r>
            <w:r w:rsidRPr="008253C4">
              <w:rPr>
                <w:color w:val="000000"/>
                <w:sz w:val="18"/>
                <w:szCs w:val="18"/>
              </w:rPr>
              <w:br/>
            </w:r>
            <w:r w:rsidRPr="008253C4">
              <w:rPr>
                <w:i/>
                <w:iCs/>
                <w:color w:val="000000"/>
                <w:sz w:val="18"/>
                <w:szCs w:val="18"/>
              </w:rPr>
              <w:t>p</w:t>
            </w:r>
            <w:r w:rsidRPr="008253C4">
              <w:rPr>
                <w:color w:val="000000"/>
                <w:sz w:val="18"/>
                <w:szCs w:val="18"/>
              </w:rPr>
              <w:t xml:space="preserve"> = .234,</w:t>
            </w:r>
            <w:r w:rsidRPr="008253C4">
              <w:rPr>
                <w:i/>
                <w:iCs/>
                <w:color w:val="000000"/>
                <w:sz w:val="18"/>
                <w:szCs w:val="18"/>
              </w:rPr>
              <w:t xml:space="preserve"> η2</w:t>
            </w:r>
            <w:r w:rsidRPr="008253C4">
              <w:rPr>
                <w:color w:val="000000"/>
                <w:sz w:val="18"/>
                <w:szCs w:val="18"/>
              </w:rPr>
              <w:t xml:space="preserve"> = 0.03</w:t>
            </w:r>
          </w:p>
        </w:tc>
        <w:tc>
          <w:tcPr>
            <w:tcW w:w="1276" w:type="dxa"/>
            <w:vMerge w:val="restart"/>
            <w:tcBorders>
              <w:top w:val="nil"/>
              <w:left w:val="nil"/>
              <w:bottom w:val="nil"/>
              <w:right w:val="nil"/>
            </w:tcBorders>
            <w:shd w:val="clear" w:color="auto" w:fill="auto"/>
            <w:hideMark/>
          </w:tcPr>
          <w:p w14:paraId="54C26348"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142) = 0.98,</w:t>
            </w:r>
            <w:r w:rsidRPr="008253C4">
              <w:rPr>
                <w:color w:val="000000"/>
                <w:sz w:val="18"/>
                <w:szCs w:val="18"/>
              </w:rPr>
              <w:br/>
            </w:r>
            <w:r w:rsidRPr="008253C4">
              <w:rPr>
                <w:i/>
                <w:iCs/>
                <w:color w:val="000000"/>
                <w:sz w:val="18"/>
                <w:szCs w:val="18"/>
              </w:rPr>
              <w:t>p</w:t>
            </w:r>
            <w:r w:rsidRPr="008253C4">
              <w:rPr>
                <w:color w:val="000000"/>
                <w:sz w:val="18"/>
                <w:szCs w:val="18"/>
              </w:rPr>
              <w:t xml:space="preserve"> = .325, </w:t>
            </w:r>
            <w:r w:rsidRPr="008253C4">
              <w:rPr>
                <w:i/>
                <w:iCs/>
                <w:color w:val="000000"/>
                <w:sz w:val="18"/>
                <w:szCs w:val="18"/>
              </w:rPr>
              <w:t>η2</w:t>
            </w:r>
            <w:r w:rsidRPr="008253C4">
              <w:rPr>
                <w:color w:val="000000"/>
                <w:sz w:val="18"/>
                <w:szCs w:val="18"/>
              </w:rPr>
              <w:t xml:space="preserve"> = 0.01</w:t>
            </w:r>
          </w:p>
        </w:tc>
        <w:tc>
          <w:tcPr>
            <w:tcW w:w="1275" w:type="dxa"/>
            <w:vMerge w:val="restart"/>
            <w:tcBorders>
              <w:top w:val="nil"/>
              <w:left w:val="nil"/>
              <w:bottom w:val="nil"/>
              <w:right w:val="nil"/>
            </w:tcBorders>
            <w:shd w:val="clear" w:color="auto" w:fill="auto"/>
            <w:hideMark/>
          </w:tcPr>
          <w:p w14:paraId="4067990C"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142) = 3.98,</w:t>
            </w:r>
            <w:r w:rsidRPr="008253C4">
              <w:rPr>
                <w:b/>
                <w:bCs/>
                <w:color w:val="000000"/>
                <w:sz w:val="18"/>
                <w:szCs w:val="18"/>
              </w:rPr>
              <w:br/>
            </w:r>
            <w:r w:rsidRPr="008253C4">
              <w:rPr>
                <w:b/>
                <w:bCs/>
                <w:i/>
                <w:iCs/>
                <w:color w:val="000000"/>
                <w:sz w:val="18"/>
                <w:szCs w:val="18"/>
              </w:rPr>
              <w:t xml:space="preserve">p </w:t>
            </w:r>
            <w:r w:rsidRPr="008253C4">
              <w:rPr>
                <w:b/>
                <w:bCs/>
                <w:color w:val="000000"/>
                <w:sz w:val="18"/>
                <w:szCs w:val="18"/>
              </w:rPr>
              <w:t xml:space="preserve">= .009, </w:t>
            </w:r>
            <w:r w:rsidRPr="008253C4">
              <w:rPr>
                <w:b/>
                <w:bCs/>
                <w:i/>
                <w:iCs/>
                <w:color w:val="000000"/>
                <w:sz w:val="18"/>
                <w:szCs w:val="18"/>
              </w:rPr>
              <w:t>η2</w:t>
            </w:r>
            <w:r w:rsidRPr="008253C4">
              <w:rPr>
                <w:b/>
                <w:bCs/>
                <w:color w:val="000000"/>
                <w:sz w:val="18"/>
                <w:szCs w:val="18"/>
              </w:rPr>
              <w:t xml:space="preserve"> = 0.08</w:t>
            </w:r>
          </w:p>
        </w:tc>
      </w:tr>
      <w:tr w:rsidR="00F129F7" w:rsidRPr="00F129F7" w14:paraId="37E911A1" w14:textId="77777777" w:rsidTr="009378CB">
        <w:trPr>
          <w:trHeight w:val="320"/>
        </w:trPr>
        <w:tc>
          <w:tcPr>
            <w:tcW w:w="281" w:type="dxa"/>
            <w:tcBorders>
              <w:top w:val="nil"/>
              <w:left w:val="nil"/>
              <w:bottom w:val="nil"/>
              <w:right w:val="nil"/>
            </w:tcBorders>
            <w:shd w:val="clear" w:color="auto" w:fill="auto"/>
            <w:noWrap/>
            <w:hideMark/>
          </w:tcPr>
          <w:p w14:paraId="50B5C0EE" w14:textId="77777777" w:rsidR="00F129F7" w:rsidRPr="008253C4" w:rsidRDefault="00F129F7" w:rsidP="008253C4">
            <w:pPr>
              <w:jc w:val="center"/>
              <w:rPr>
                <w:b/>
                <w:bCs/>
                <w:color w:val="000000"/>
                <w:sz w:val="18"/>
                <w:szCs w:val="18"/>
              </w:rPr>
            </w:pPr>
          </w:p>
        </w:tc>
        <w:tc>
          <w:tcPr>
            <w:tcW w:w="284" w:type="dxa"/>
            <w:tcBorders>
              <w:top w:val="nil"/>
              <w:left w:val="nil"/>
              <w:bottom w:val="nil"/>
              <w:right w:val="nil"/>
            </w:tcBorders>
            <w:shd w:val="clear" w:color="auto" w:fill="auto"/>
            <w:noWrap/>
            <w:hideMark/>
          </w:tcPr>
          <w:p w14:paraId="67B7554E"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7F509249"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5108EB83" w14:textId="77777777" w:rsidR="00F129F7" w:rsidRPr="008253C4" w:rsidRDefault="00F129F7" w:rsidP="008253C4">
            <w:pPr>
              <w:jc w:val="center"/>
              <w:rPr>
                <w:color w:val="000000"/>
                <w:sz w:val="18"/>
                <w:szCs w:val="18"/>
              </w:rPr>
            </w:pPr>
            <w:r w:rsidRPr="008253C4">
              <w:rPr>
                <w:color w:val="000000"/>
                <w:sz w:val="18"/>
                <w:szCs w:val="18"/>
              </w:rPr>
              <w:t>5.09 (1.12)</w:t>
            </w:r>
          </w:p>
        </w:tc>
        <w:tc>
          <w:tcPr>
            <w:tcW w:w="1418" w:type="dxa"/>
            <w:tcBorders>
              <w:top w:val="nil"/>
              <w:left w:val="nil"/>
              <w:bottom w:val="nil"/>
              <w:right w:val="nil"/>
            </w:tcBorders>
            <w:shd w:val="clear" w:color="auto" w:fill="auto"/>
            <w:noWrap/>
            <w:hideMark/>
          </w:tcPr>
          <w:p w14:paraId="5E3FD721" w14:textId="77777777" w:rsidR="00F129F7" w:rsidRPr="008253C4" w:rsidRDefault="00F129F7" w:rsidP="008253C4">
            <w:pPr>
              <w:jc w:val="center"/>
              <w:rPr>
                <w:color w:val="000000"/>
                <w:sz w:val="18"/>
                <w:szCs w:val="18"/>
              </w:rPr>
            </w:pPr>
            <w:r w:rsidRPr="008253C4">
              <w:rPr>
                <w:color w:val="000000"/>
                <w:sz w:val="18"/>
                <w:szCs w:val="18"/>
              </w:rPr>
              <w:t>5.19 (0.71)</w:t>
            </w:r>
          </w:p>
        </w:tc>
        <w:tc>
          <w:tcPr>
            <w:tcW w:w="1417" w:type="dxa"/>
            <w:tcBorders>
              <w:top w:val="nil"/>
              <w:left w:val="nil"/>
              <w:bottom w:val="nil"/>
              <w:right w:val="nil"/>
            </w:tcBorders>
            <w:shd w:val="clear" w:color="auto" w:fill="auto"/>
            <w:noWrap/>
            <w:hideMark/>
          </w:tcPr>
          <w:p w14:paraId="522D0553" w14:textId="77777777" w:rsidR="00F129F7" w:rsidRPr="008253C4" w:rsidRDefault="00F129F7" w:rsidP="008253C4">
            <w:pPr>
              <w:jc w:val="center"/>
              <w:rPr>
                <w:color w:val="000000"/>
                <w:sz w:val="18"/>
                <w:szCs w:val="18"/>
              </w:rPr>
            </w:pPr>
            <w:r w:rsidRPr="008253C4">
              <w:rPr>
                <w:color w:val="000000"/>
                <w:sz w:val="18"/>
                <w:szCs w:val="18"/>
              </w:rPr>
              <w:t>5.65 (1.46)</w:t>
            </w:r>
          </w:p>
        </w:tc>
        <w:tc>
          <w:tcPr>
            <w:tcW w:w="1418" w:type="dxa"/>
            <w:tcBorders>
              <w:top w:val="nil"/>
              <w:left w:val="nil"/>
              <w:bottom w:val="nil"/>
              <w:right w:val="nil"/>
            </w:tcBorders>
            <w:shd w:val="clear" w:color="auto" w:fill="auto"/>
            <w:noWrap/>
            <w:hideMark/>
          </w:tcPr>
          <w:p w14:paraId="2432100E" w14:textId="77777777" w:rsidR="00F129F7" w:rsidRPr="008253C4" w:rsidRDefault="00F129F7" w:rsidP="008253C4">
            <w:pPr>
              <w:jc w:val="center"/>
              <w:rPr>
                <w:color w:val="000000"/>
                <w:sz w:val="18"/>
                <w:szCs w:val="18"/>
              </w:rPr>
            </w:pPr>
            <w:r w:rsidRPr="008253C4">
              <w:rPr>
                <w:color w:val="000000"/>
                <w:sz w:val="18"/>
                <w:szCs w:val="18"/>
              </w:rPr>
              <w:t>4.40 (0.91)</w:t>
            </w:r>
          </w:p>
        </w:tc>
        <w:tc>
          <w:tcPr>
            <w:tcW w:w="283" w:type="dxa"/>
            <w:tcBorders>
              <w:top w:val="nil"/>
              <w:left w:val="nil"/>
              <w:bottom w:val="nil"/>
              <w:right w:val="nil"/>
            </w:tcBorders>
            <w:shd w:val="clear" w:color="auto" w:fill="auto"/>
            <w:noWrap/>
            <w:hideMark/>
          </w:tcPr>
          <w:p w14:paraId="2F9EA6D4"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7472E044" w14:textId="77777777" w:rsidR="00F129F7" w:rsidRPr="008253C4" w:rsidRDefault="00F129F7" w:rsidP="008253C4">
            <w:pPr>
              <w:rPr>
                <w:color w:val="000000"/>
                <w:sz w:val="18"/>
                <w:szCs w:val="18"/>
              </w:rPr>
            </w:pPr>
          </w:p>
        </w:tc>
        <w:tc>
          <w:tcPr>
            <w:tcW w:w="1276" w:type="dxa"/>
            <w:vMerge/>
            <w:tcBorders>
              <w:top w:val="nil"/>
              <w:left w:val="nil"/>
              <w:bottom w:val="nil"/>
              <w:right w:val="nil"/>
            </w:tcBorders>
            <w:hideMark/>
          </w:tcPr>
          <w:p w14:paraId="761274F4"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3D1DB658" w14:textId="77777777" w:rsidR="00F129F7" w:rsidRPr="008253C4" w:rsidRDefault="00F129F7" w:rsidP="008253C4">
            <w:pPr>
              <w:rPr>
                <w:b/>
                <w:bCs/>
                <w:color w:val="000000"/>
                <w:sz w:val="18"/>
                <w:szCs w:val="18"/>
              </w:rPr>
            </w:pPr>
          </w:p>
        </w:tc>
      </w:tr>
      <w:tr w:rsidR="009378CB" w:rsidRPr="00F129F7" w14:paraId="1762FB5C" w14:textId="77777777" w:rsidTr="009378CB">
        <w:trPr>
          <w:trHeight w:val="320"/>
        </w:trPr>
        <w:tc>
          <w:tcPr>
            <w:tcW w:w="281" w:type="dxa"/>
            <w:tcBorders>
              <w:top w:val="nil"/>
              <w:left w:val="nil"/>
              <w:bottom w:val="nil"/>
              <w:right w:val="nil"/>
            </w:tcBorders>
            <w:shd w:val="clear" w:color="auto" w:fill="auto"/>
            <w:noWrap/>
            <w:hideMark/>
          </w:tcPr>
          <w:p w14:paraId="03562828" w14:textId="77777777" w:rsidR="009378CB" w:rsidRPr="008253C4" w:rsidRDefault="009378CB"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4834FEA0" w14:textId="455A6B30" w:rsidR="009378CB" w:rsidRPr="008253C4" w:rsidRDefault="009378CB" w:rsidP="008253C4">
            <w:pPr>
              <w:rPr>
                <w:color w:val="000000"/>
                <w:sz w:val="18"/>
                <w:szCs w:val="18"/>
              </w:rPr>
            </w:pPr>
            <w:r w:rsidRPr="008253C4">
              <w:rPr>
                <w:color w:val="000000"/>
                <w:sz w:val="18"/>
                <w:szCs w:val="18"/>
              </w:rPr>
              <w:t>Serum potassium</w:t>
            </w:r>
          </w:p>
        </w:tc>
        <w:tc>
          <w:tcPr>
            <w:tcW w:w="1418" w:type="dxa"/>
            <w:tcBorders>
              <w:top w:val="nil"/>
              <w:left w:val="nil"/>
              <w:bottom w:val="nil"/>
              <w:right w:val="nil"/>
            </w:tcBorders>
            <w:shd w:val="clear" w:color="auto" w:fill="auto"/>
            <w:noWrap/>
            <w:hideMark/>
          </w:tcPr>
          <w:p w14:paraId="34191279" w14:textId="77777777" w:rsidR="009378CB" w:rsidRPr="008253C4" w:rsidRDefault="009378CB" w:rsidP="008253C4">
            <w:pPr>
              <w:jc w:val="center"/>
              <w:rPr>
                <w:sz w:val="18"/>
                <w:szCs w:val="18"/>
              </w:rPr>
            </w:pPr>
          </w:p>
        </w:tc>
        <w:tc>
          <w:tcPr>
            <w:tcW w:w="1417" w:type="dxa"/>
            <w:tcBorders>
              <w:top w:val="nil"/>
              <w:left w:val="nil"/>
              <w:bottom w:val="nil"/>
              <w:right w:val="nil"/>
            </w:tcBorders>
            <w:shd w:val="clear" w:color="auto" w:fill="auto"/>
            <w:noWrap/>
            <w:hideMark/>
          </w:tcPr>
          <w:p w14:paraId="40E67756" w14:textId="77777777" w:rsidR="009378CB" w:rsidRPr="008253C4" w:rsidRDefault="009378CB" w:rsidP="008253C4">
            <w:pPr>
              <w:jc w:val="center"/>
              <w:rPr>
                <w:sz w:val="18"/>
                <w:szCs w:val="18"/>
              </w:rPr>
            </w:pPr>
          </w:p>
        </w:tc>
        <w:tc>
          <w:tcPr>
            <w:tcW w:w="1418" w:type="dxa"/>
            <w:tcBorders>
              <w:top w:val="nil"/>
              <w:left w:val="nil"/>
              <w:bottom w:val="nil"/>
              <w:right w:val="nil"/>
            </w:tcBorders>
            <w:shd w:val="clear" w:color="auto" w:fill="auto"/>
            <w:noWrap/>
            <w:hideMark/>
          </w:tcPr>
          <w:p w14:paraId="647CEDBD" w14:textId="77777777" w:rsidR="009378CB" w:rsidRPr="008253C4" w:rsidRDefault="009378CB" w:rsidP="008253C4">
            <w:pPr>
              <w:jc w:val="center"/>
              <w:rPr>
                <w:sz w:val="18"/>
                <w:szCs w:val="18"/>
              </w:rPr>
            </w:pPr>
          </w:p>
        </w:tc>
        <w:tc>
          <w:tcPr>
            <w:tcW w:w="283" w:type="dxa"/>
            <w:tcBorders>
              <w:top w:val="nil"/>
              <w:left w:val="nil"/>
              <w:bottom w:val="nil"/>
              <w:right w:val="nil"/>
            </w:tcBorders>
            <w:shd w:val="clear" w:color="auto" w:fill="auto"/>
            <w:noWrap/>
            <w:hideMark/>
          </w:tcPr>
          <w:p w14:paraId="27B96126" w14:textId="77777777" w:rsidR="009378CB" w:rsidRPr="008253C4" w:rsidRDefault="009378CB" w:rsidP="008253C4">
            <w:pPr>
              <w:jc w:val="center"/>
              <w:rPr>
                <w:sz w:val="18"/>
                <w:szCs w:val="18"/>
              </w:rPr>
            </w:pPr>
          </w:p>
        </w:tc>
        <w:tc>
          <w:tcPr>
            <w:tcW w:w="1418" w:type="dxa"/>
            <w:tcBorders>
              <w:top w:val="nil"/>
              <w:left w:val="nil"/>
              <w:bottom w:val="nil"/>
              <w:right w:val="nil"/>
            </w:tcBorders>
            <w:shd w:val="clear" w:color="auto" w:fill="auto"/>
            <w:hideMark/>
          </w:tcPr>
          <w:p w14:paraId="0DD0C174" w14:textId="77777777" w:rsidR="009378CB" w:rsidRPr="008253C4" w:rsidRDefault="009378CB" w:rsidP="008253C4">
            <w:pPr>
              <w:jc w:val="center"/>
              <w:rPr>
                <w:sz w:val="18"/>
                <w:szCs w:val="18"/>
              </w:rPr>
            </w:pPr>
          </w:p>
        </w:tc>
        <w:tc>
          <w:tcPr>
            <w:tcW w:w="1276" w:type="dxa"/>
            <w:tcBorders>
              <w:top w:val="nil"/>
              <w:left w:val="nil"/>
              <w:bottom w:val="nil"/>
              <w:right w:val="nil"/>
            </w:tcBorders>
            <w:shd w:val="clear" w:color="auto" w:fill="auto"/>
            <w:hideMark/>
          </w:tcPr>
          <w:p w14:paraId="1C9A4008" w14:textId="77777777" w:rsidR="009378CB" w:rsidRPr="008253C4" w:rsidRDefault="009378CB" w:rsidP="008253C4">
            <w:pPr>
              <w:jc w:val="center"/>
              <w:rPr>
                <w:sz w:val="18"/>
                <w:szCs w:val="18"/>
              </w:rPr>
            </w:pPr>
          </w:p>
        </w:tc>
        <w:tc>
          <w:tcPr>
            <w:tcW w:w="1275" w:type="dxa"/>
            <w:tcBorders>
              <w:top w:val="nil"/>
              <w:left w:val="nil"/>
              <w:bottom w:val="nil"/>
              <w:right w:val="nil"/>
            </w:tcBorders>
            <w:shd w:val="clear" w:color="auto" w:fill="auto"/>
            <w:hideMark/>
          </w:tcPr>
          <w:p w14:paraId="649731EB" w14:textId="77777777" w:rsidR="009378CB" w:rsidRPr="008253C4" w:rsidRDefault="009378CB" w:rsidP="008253C4">
            <w:pPr>
              <w:jc w:val="center"/>
              <w:rPr>
                <w:sz w:val="18"/>
                <w:szCs w:val="18"/>
              </w:rPr>
            </w:pPr>
          </w:p>
        </w:tc>
      </w:tr>
      <w:tr w:rsidR="00F129F7" w:rsidRPr="00F129F7" w14:paraId="368DC9EE" w14:textId="77777777" w:rsidTr="009378CB">
        <w:trPr>
          <w:trHeight w:val="320"/>
        </w:trPr>
        <w:tc>
          <w:tcPr>
            <w:tcW w:w="281" w:type="dxa"/>
            <w:tcBorders>
              <w:top w:val="nil"/>
              <w:left w:val="nil"/>
              <w:bottom w:val="nil"/>
              <w:right w:val="nil"/>
            </w:tcBorders>
            <w:shd w:val="clear" w:color="auto" w:fill="auto"/>
            <w:noWrap/>
            <w:hideMark/>
          </w:tcPr>
          <w:p w14:paraId="4B51BCFB" w14:textId="77777777" w:rsidR="00F129F7" w:rsidRPr="008253C4" w:rsidRDefault="00F129F7" w:rsidP="008253C4">
            <w:pPr>
              <w:jc w:val="center"/>
              <w:rPr>
                <w:sz w:val="18"/>
                <w:szCs w:val="18"/>
              </w:rPr>
            </w:pPr>
          </w:p>
        </w:tc>
        <w:tc>
          <w:tcPr>
            <w:tcW w:w="284" w:type="dxa"/>
            <w:tcBorders>
              <w:top w:val="nil"/>
              <w:left w:val="nil"/>
              <w:bottom w:val="nil"/>
              <w:right w:val="nil"/>
            </w:tcBorders>
            <w:shd w:val="clear" w:color="auto" w:fill="auto"/>
            <w:noWrap/>
            <w:hideMark/>
          </w:tcPr>
          <w:p w14:paraId="19CBCABE"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3A2DA188"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039AB554" w14:textId="77777777" w:rsidR="00F129F7" w:rsidRPr="008253C4" w:rsidRDefault="00F129F7" w:rsidP="008253C4">
            <w:pPr>
              <w:jc w:val="center"/>
              <w:rPr>
                <w:color w:val="000000"/>
                <w:sz w:val="18"/>
                <w:szCs w:val="18"/>
              </w:rPr>
            </w:pPr>
            <w:r w:rsidRPr="008253C4">
              <w:rPr>
                <w:color w:val="000000"/>
                <w:sz w:val="18"/>
                <w:szCs w:val="18"/>
              </w:rPr>
              <w:t>4.77 (0.55)</w:t>
            </w:r>
          </w:p>
        </w:tc>
        <w:tc>
          <w:tcPr>
            <w:tcW w:w="1418" w:type="dxa"/>
            <w:tcBorders>
              <w:top w:val="nil"/>
              <w:left w:val="nil"/>
              <w:bottom w:val="nil"/>
              <w:right w:val="nil"/>
            </w:tcBorders>
            <w:shd w:val="clear" w:color="auto" w:fill="auto"/>
            <w:noWrap/>
            <w:hideMark/>
          </w:tcPr>
          <w:p w14:paraId="612AFF9A" w14:textId="77777777" w:rsidR="00F129F7" w:rsidRPr="008253C4" w:rsidRDefault="00F129F7" w:rsidP="008253C4">
            <w:pPr>
              <w:jc w:val="center"/>
              <w:rPr>
                <w:color w:val="000000"/>
                <w:sz w:val="18"/>
                <w:szCs w:val="18"/>
              </w:rPr>
            </w:pPr>
            <w:r w:rsidRPr="008253C4">
              <w:rPr>
                <w:color w:val="000000"/>
                <w:sz w:val="18"/>
                <w:szCs w:val="18"/>
              </w:rPr>
              <w:t>4.59 (0.76)</w:t>
            </w:r>
          </w:p>
        </w:tc>
        <w:tc>
          <w:tcPr>
            <w:tcW w:w="1417" w:type="dxa"/>
            <w:tcBorders>
              <w:top w:val="nil"/>
              <w:left w:val="nil"/>
              <w:bottom w:val="nil"/>
              <w:right w:val="nil"/>
            </w:tcBorders>
            <w:shd w:val="clear" w:color="auto" w:fill="auto"/>
            <w:noWrap/>
            <w:hideMark/>
          </w:tcPr>
          <w:p w14:paraId="499C979A" w14:textId="77777777" w:rsidR="00F129F7" w:rsidRPr="008253C4" w:rsidRDefault="00F129F7" w:rsidP="008253C4">
            <w:pPr>
              <w:jc w:val="center"/>
              <w:rPr>
                <w:color w:val="000000"/>
                <w:sz w:val="18"/>
                <w:szCs w:val="18"/>
              </w:rPr>
            </w:pPr>
            <w:r w:rsidRPr="008253C4">
              <w:rPr>
                <w:color w:val="000000"/>
                <w:sz w:val="18"/>
                <w:szCs w:val="18"/>
              </w:rPr>
              <w:t>4.69 (0.71)</w:t>
            </w:r>
          </w:p>
        </w:tc>
        <w:tc>
          <w:tcPr>
            <w:tcW w:w="1418" w:type="dxa"/>
            <w:tcBorders>
              <w:top w:val="nil"/>
              <w:left w:val="nil"/>
              <w:bottom w:val="nil"/>
              <w:right w:val="nil"/>
            </w:tcBorders>
            <w:shd w:val="clear" w:color="auto" w:fill="auto"/>
            <w:noWrap/>
            <w:hideMark/>
          </w:tcPr>
          <w:p w14:paraId="1770D4ED" w14:textId="77777777" w:rsidR="00F129F7" w:rsidRPr="008253C4" w:rsidRDefault="00F129F7" w:rsidP="008253C4">
            <w:pPr>
              <w:jc w:val="center"/>
              <w:rPr>
                <w:color w:val="000000"/>
                <w:sz w:val="18"/>
                <w:szCs w:val="18"/>
              </w:rPr>
            </w:pPr>
            <w:r w:rsidRPr="008253C4">
              <w:rPr>
                <w:color w:val="000000"/>
                <w:sz w:val="18"/>
                <w:szCs w:val="18"/>
              </w:rPr>
              <w:t>4.59 (0.75)</w:t>
            </w:r>
          </w:p>
        </w:tc>
        <w:tc>
          <w:tcPr>
            <w:tcW w:w="283" w:type="dxa"/>
            <w:tcBorders>
              <w:top w:val="nil"/>
              <w:left w:val="nil"/>
              <w:bottom w:val="nil"/>
              <w:right w:val="nil"/>
            </w:tcBorders>
            <w:shd w:val="clear" w:color="auto" w:fill="auto"/>
            <w:noWrap/>
            <w:hideMark/>
          </w:tcPr>
          <w:p w14:paraId="5EA543BD"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052499FB"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142) = 0.43,</w:t>
            </w:r>
            <w:r w:rsidRPr="008253C4">
              <w:rPr>
                <w:color w:val="000000"/>
                <w:sz w:val="18"/>
                <w:szCs w:val="18"/>
              </w:rPr>
              <w:br/>
            </w:r>
            <w:r w:rsidRPr="008253C4">
              <w:rPr>
                <w:i/>
                <w:iCs/>
                <w:color w:val="000000"/>
                <w:sz w:val="18"/>
                <w:szCs w:val="18"/>
              </w:rPr>
              <w:t>p</w:t>
            </w:r>
            <w:r w:rsidRPr="008253C4">
              <w:rPr>
                <w:color w:val="000000"/>
                <w:sz w:val="18"/>
                <w:szCs w:val="18"/>
              </w:rPr>
              <w:t xml:space="preserve"> = .733,</w:t>
            </w:r>
            <w:r w:rsidRPr="008253C4">
              <w:rPr>
                <w:i/>
                <w:iCs/>
                <w:color w:val="000000"/>
                <w:sz w:val="18"/>
                <w:szCs w:val="18"/>
              </w:rPr>
              <w:t xml:space="preserve"> η2</w:t>
            </w:r>
            <w:r w:rsidRPr="008253C4">
              <w:rPr>
                <w:color w:val="000000"/>
                <w:sz w:val="18"/>
                <w:szCs w:val="18"/>
              </w:rPr>
              <w:t xml:space="preserve"> = 0.01</w:t>
            </w:r>
          </w:p>
        </w:tc>
        <w:tc>
          <w:tcPr>
            <w:tcW w:w="1276" w:type="dxa"/>
            <w:vMerge w:val="restart"/>
            <w:tcBorders>
              <w:top w:val="nil"/>
              <w:left w:val="nil"/>
              <w:bottom w:val="nil"/>
              <w:right w:val="nil"/>
            </w:tcBorders>
            <w:shd w:val="clear" w:color="auto" w:fill="auto"/>
            <w:hideMark/>
          </w:tcPr>
          <w:p w14:paraId="6833F05F"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142) = 1.02,</w:t>
            </w:r>
            <w:r w:rsidRPr="008253C4">
              <w:rPr>
                <w:color w:val="000000"/>
                <w:sz w:val="18"/>
                <w:szCs w:val="18"/>
              </w:rPr>
              <w:br/>
            </w:r>
            <w:r w:rsidRPr="008253C4">
              <w:rPr>
                <w:i/>
                <w:iCs/>
                <w:color w:val="000000"/>
                <w:sz w:val="18"/>
                <w:szCs w:val="18"/>
              </w:rPr>
              <w:t>p</w:t>
            </w:r>
            <w:r w:rsidRPr="008253C4">
              <w:rPr>
                <w:color w:val="000000"/>
                <w:sz w:val="18"/>
                <w:szCs w:val="18"/>
              </w:rPr>
              <w:t xml:space="preserve"> = .315, </w:t>
            </w:r>
            <w:r w:rsidRPr="008253C4">
              <w:rPr>
                <w:i/>
                <w:iCs/>
                <w:color w:val="000000"/>
                <w:sz w:val="18"/>
                <w:szCs w:val="18"/>
              </w:rPr>
              <w:t>η2</w:t>
            </w:r>
            <w:r w:rsidRPr="008253C4">
              <w:rPr>
                <w:color w:val="000000"/>
                <w:sz w:val="18"/>
                <w:szCs w:val="18"/>
              </w:rPr>
              <w:t xml:space="preserve"> = 0.01</w:t>
            </w:r>
          </w:p>
        </w:tc>
        <w:tc>
          <w:tcPr>
            <w:tcW w:w="1275" w:type="dxa"/>
            <w:vMerge w:val="restart"/>
            <w:tcBorders>
              <w:top w:val="nil"/>
              <w:left w:val="nil"/>
              <w:bottom w:val="nil"/>
              <w:right w:val="nil"/>
            </w:tcBorders>
            <w:shd w:val="clear" w:color="auto" w:fill="auto"/>
            <w:hideMark/>
          </w:tcPr>
          <w:p w14:paraId="2B996393"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142) = 0.05,</w:t>
            </w:r>
            <w:r w:rsidRPr="008253C4">
              <w:rPr>
                <w:color w:val="000000"/>
                <w:sz w:val="18"/>
                <w:szCs w:val="18"/>
              </w:rPr>
              <w:br/>
            </w:r>
            <w:r w:rsidRPr="008253C4">
              <w:rPr>
                <w:i/>
                <w:iCs/>
                <w:color w:val="000000"/>
                <w:sz w:val="18"/>
                <w:szCs w:val="18"/>
              </w:rPr>
              <w:t>p</w:t>
            </w:r>
            <w:r w:rsidRPr="008253C4">
              <w:rPr>
                <w:color w:val="000000"/>
                <w:sz w:val="18"/>
                <w:szCs w:val="18"/>
              </w:rPr>
              <w:t xml:space="preserve"> = .985, </w:t>
            </w:r>
            <w:r w:rsidRPr="008253C4">
              <w:rPr>
                <w:i/>
                <w:iCs/>
                <w:color w:val="000000"/>
                <w:sz w:val="18"/>
                <w:szCs w:val="18"/>
              </w:rPr>
              <w:t>η2</w:t>
            </w:r>
            <w:r w:rsidRPr="008253C4">
              <w:rPr>
                <w:color w:val="000000"/>
                <w:sz w:val="18"/>
                <w:szCs w:val="18"/>
              </w:rPr>
              <w:t xml:space="preserve"> = 0.001</w:t>
            </w:r>
          </w:p>
        </w:tc>
      </w:tr>
      <w:tr w:rsidR="00F129F7" w:rsidRPr="00F129F7" w14:paraId="49E5D48D" w14:textId="77777777" w:rsidTr="009378CB">
        <w:trPr>
          <w:trHeight w:val="320"/>
        </w:trPr>
        <w:tc>
          <w:tcPr>
            <w:tcW w:w="281" w:type="dxa"/>
            <w:tcBorders>
              <w:top w:val="nil"/>
              <w:left w:val="nil"/>
              <w:bottom w:val="nil"/>
              <w:right w:val="nil"/>
            </w:tcBorders>
            <w:shd w:val="clear" w:color="auto" w:fill="auto"/>
            <w:noWrap/>
            <w:hideMark/>
          </w:tcPr>
          <w:p w14:paraId="78888CE5"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29921A70"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650D0E3B"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40E7DB94" w14:textId="77777777" w:rsidR="00F129F7" w:rsidRPr="008253C4" w:rsidRDefault="00F129F7" w:rsidP="008253C4">
            <w:pPr>
              <w:jc w:val="center"/>
              <w:rPr>
                <w:color w:val="000000"/>
                <w:sz w:val="18"/>
                <w:szCs w:val="18"/>
              </w:rPr>
            </w:pPr>
            <w:r w:rsidRPr="008253C4">
              <w:rPr>
                <w:color w:val="000000"/>
                <w:sz w:val="18"/>
                <w:szCs w:val="18"/>
              </w:rPr>
              <w:t>5.04 (2.26)</w:t>
            </w:r>
          </w:p>
        </w:tc>
        <w:tc>
          <w:tcPr>
            <w:tcW w:w="1418" w:type="dxa"/>
            <w:tcBorders>
              <w:top w:val="nil"/>
              <w:left w:val="nil"/>
              <w:bottom w:val="nil"/>
              <w:right w:val="nil"/>
            </w:tcBorders>
            <w:shd w:val="clear" w:color="auto" w:fill="auto"/>
            <w:noWrap/>
            <w:hideMark/>
          </w:tcPr>
          <w:p w14:paraId="19DF970F" w14:textId="77777777" w:rsidR="00F129F7" w:rsidRPr="008253C4" w:rsidRDefault="00F129F7" w:rsidP="008253C4">
            <w:pPr>
              <w:jc w:val="center"/>
              <w:rPr>
                <w:color w:val="000000"/>
                <w:sz w:val="18"/>
                <w:szCs w:val="18"/>
              </w:rPr>
            </w:pPr>
            <w:r w:rsidRPr="008253C4">
              <w:rPr>
                <w:color w:val="000000"/>
                <w:sz w:val="18"/>
                <w:szCs w:val="18"/>
              </w:rPr>
              <w:t>4.67 (0.53)</w:t>
            </w:r>
          </w:p>
        </w:tc>
        <w:tc>
          <w:tcPr>
            <w:tcW w:w="1417" w:type="dxa"/>
            <w:tcBorders>
              <w:top w:val="nil"/>
              <w:left w:val="nil"/>
              <w:bottom w:val="nil"/>
              <w:right w:val="nil"/>
            </w:tcBorders>
            <w:shd w:val="clear" w:color="auto" w:fill="auto"/>
            <w:noWrap/>
            <w:hideMark/>
          </w:tcPr>
          <w:p w14:paraId="31B2C935" w14:textId="77777777" w:rsidR="00F129F7" w:rsidRPr="008253C4" w:rsidRDefault="00F129F7" w:rsidP="008253C4">
            <w:pPr>
              <w:jc w:val="center"/>
              <w:rPr>
                <w:color w:val="000000"/>
                <w:sz w:val="18"/>
                <w:szCs w:val="18"/>
              </w:rPr>
            </w:pPr>
            <w:r w:rsidRPr="008253C4">
              <w:rPr>
                <w:color w:val="000000"/>
                <w:sz w:val="18"/>
                <w:szCs w:val="18"/>
              </w:rPr>
              <w:t>4.87 (0.65)</w:t>
            </w:r>
          </w:p>
        </w:tc>
        <w:tc>
          <w:tcPr>
            <w:tcW w:w="1418" w:type="dxa"/>
            <w:tcBorders>
              <w:top w:val="nil"/>
              <w:left w:val="nil"/>
              <w:bottom w:val="nil"/>
              <w:right w:val="nil"/>
            </w:tcBorders>
            <w:shd w:val="clear" w:color="auto" w:fill="auto"/>
            <w:noWrap/>
            <w:hideMark/>
          </w:tcPr>
          <w:p w14:paraId="32DDB6EB" w14:textId="77777777" w:rsidR="00F129F7" w:rsidRPr="008253C4" w:rsidRDefault="00F129F7" w:rsidP="008253C4">
            <w:pPr>
              <w:jc w:val="center"/>
              <w:rPr>
                <w:color w:val="000000"/>
                <w:sz w:val="18"/>
                <w:szCs w:val="18"/>
              </w:rPr>
            </w:pPr>
            <w:r w:rsidRPr="008253C4">
              <w:rPr>
                <w:color w:val="000000"/>
                <w:sz w:val="18"/>
                <w:szCs w:val="18"/>
              </w:rPr>
              <w:t>4.84 (0.63)</w:t>
            </w:r>
          </w:p>
        </w:tc>
        <w:tc>
          <w:tcPr>
            <w:tcW w:w="283" w:type="dxa"/>
            <w:tcBorders>
              <w:top w:val="nil"/>
              <w:left w:val="nil"/>
              <w:bottom w:val="nil"/>
              <w:right w:val="nil"/>
            </w:tcBorders>
            <w:shd w:val="clear" w:color="auto" w:fill="auto"/>
            <w:noWrap/>
            <w:hideMark/>
          </w:tcPr>
          <w:p w14:paraId="7EBF25D7"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061BAC75" w14:textId="77777777" w:rsidR="00F129F7" w:rsidRPr="008253C4" w:rsidRDefault="00F129F7" w:rsidP="008253C4">
            <w:pPr>
              <w:rPr>
                <w:color w:val="000000"/>
                <w:sz w:val="18"/>
                <w:szCs w:val="18"/>
              </w:rPr>
            </w:pPr>
          </w:p>
        </w:tc>
        <w:tc>
          <w:tcPr>
            <w:tcW w:w="1276" w:type="dxa"/>
            <w:vMerge/>
            <w:tcBorders>
              <w:top w:val="nil"/>
              <w:left w:val="nil"/>
              <w:bottom w:val="nil"/>
              <w:right w:val="nil"/>
            </w:tcBorders>
            <w:hideMark/>
          </w:tcPr>
          <w:p w14:paraId="6EB3C803"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020D0E2F" w14:textId="77777777" w:rsidR="00F129F7" w:rsidRPr="008253C4" w:rsidRDefault="00F129F7" w:rsidP="008253C4">
            <w:pPr>
              <w:rPr>
                <w:color w:val="000000"/>
                <w:sz w:val="18"/>
                <w:szCs w:val="18"/>
              </w:rPr>
            </w:pPr>
          </w:p>
        </w:tc>
      </w:tr>
      <w:tr w:rsidR="00F129F7" w:rsidRPr="00F129F7" w14:paraId="0AC8E39B" w14:textId="77777777" w:rsidTr="009378CB">
        <w:trPr>
          <w:trHeight w:val="320"/>
        </w:trPr>
        <w:tc>
          <w:tcPr>
            <w:tcW w:w="281" w:type="dxa"/>
            <w:tcBorders>
              <w:top w:val="nil"/>
              <w:left w:val="nil"/>
              <w:bottom w:val="nil"/>
              <w:right w:val="nil"/>
            </w:tcBorders>
            <w:shd w:val="clear" w:color="auto" w:fill="auto"/>
            <w:noWrap/>
            <w:hideMark/>
          </w:tcPr>
          <w:p w14:paraId="1117F6E6"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5F679F95" w14:textId="77777777" w:rsidR="00F129F7" w:rsidRPr="008253C4" w:rsidRDefault="00F129F7" w:rsidP="008253C4">
            <w:pPr>
              <w:rPr>
                <w:color w:val="000000"/>
                <w:sz w:val="18"/>
                <w:szCs w:val="18"/>
              </w:rPr>
            </w:pPr>
            <w:r w:rsidRPr="008253C4">
              <w:rPr>
                <w:color w:val="000000"/>
                <w:sz w:val="18"/>
                <w:szCs w:val="18"/>
              </w:rPr>
              <w:t>Calcium-phosphorus product</w:t>
            </w:r>
          </w:p>
        </w:tc>
        <w:tc>
          <w:tcPr>
            <w:tcW w:w="1418" w:type="dxa"/>
            <w:tcBorders>
              <w:top w:val="nil"/>
              <w:left w:val="nil"/>
              <w:bottom w:val="nil"/>
              <w:right w:val="nil"/>
            </w:tcBorders>
            <w:shd w:val="clear" w:color="auto" w:fill="auto"/>
            <w:noWrap/>
            <w:hideMark/>
          </w:tcPr>
          <w:p w14:paraId="256202A7"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3C0C8D3F"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489375CA"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5C1AA04C"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04845C41"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64D3D884"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hideMark/>
          </w:tcPr>
          <w:p w14:paraId="2E2634EB" w14:textId="77777777" w:rsidR="00F129F7" w:rsidRPr="008253C4" w:rsidRDefault="00F129F7" w:rsidP="008253C4">
            <w:pPr>
              <w:rPr>
                <w:sz w:val="18"/>
                <w:szCs w:val="18"/>
              </w:rPr>
            </w:pPr>
          </w:p>
        </w:tc>
      </w:tr>
      <w:tr w:rsidR="00F129F7" w:rsidRPr="00F129F7" w14:paraId="40E829B3" w14:textId="77777777" w:rsidTr="009378CB">
        <w:trPr>
          <w:trHeight w:val="320"/>
        </w:trPr>
        <w:tc>
          <w:tcPr>
            <w:tcW w:w="281" w:type="dxa"/>
            <w:tcBorders>
              <w:top w:val="nil"/>
              <w:left w:val="nil"/>
              <w:bottom w:val="nil"/>
              <w:right w:val="nil"/>
            </w:tcBorders>
            <w:shd w:val="clear" w:color="auto" w:fill="auto"/>
            <w:noWrap/>
            <w:hideMark/>
          </w:tcPr>
          <w:p w14:paraId="57D068AE"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714CBDF7"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28209602"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05278626" w14:textId="77777777" w:rsidR="00F129F7" w:rsidRPr="008253C4" w:rsidRDefault="00F129F7" w:rsidP="008253C4">
            <w:pPr>
              <w:jc w:val="center"/>
              <w:rPr>
                <w:color w:val="000000"/>
                <w:sz w:val="18"/>
                <w:szCs w:val="18"/>
              </w:rPr>
            </w:pPr>
            <w:r w:rsidRPr="008253C4">
              <w:rPr>
                <w:color w:val="000000"/>
                <w:sz w:val="18"/>
                <w:szCs w:val="18"/>
              </w:rPr>
              <w:t>45.69 (13.75)</w:t>
            </w:r>
          </w:p>
        </w:tc>
        <w:tc>
          <w:tcPr>
            <w:tcW w:w="1418" w:type="dxa"/>
            <w:tcBorders>
              <w:top w:val="nil"/>
              <w:left w:val="nil"/>
              <w:bottom w:val="nil"/>
              <w:right w:val="nil"/>
            </w:tcBorders>
            <w:shd w:val="clear" w:color="auto" w:fill="auto"/>
            <w:noWrap/>
            <w:hideMark/>
          </w:tcPr>
          <w:p w14:paraId="585214DA" w14:textId="77777777" w:rsidR="00F129F7" w:rsidRPr="008253C4" w:rsidRDefault="00F129F7" w:rsidP="008253C4">
            <w:pPr>
              <w:jc w:val="center"/>
              <w:rPr>
                <w:color w:val="000000"/>
                <w:sz w:val="18"/>
                <w:szCs w:val="18"/>
              </w:rPr>
            </w:pPr>
            <w:r w:rsidRPr="008253C4">
              <w:rPr>
                <w:color w:val="000000"/>
                <w:sz w:val="18"/>
                <w:szCs w:val="18"/>
              </w:rPr>
              <w:t>47.57 (11.32)</w:t>
            </w:r>
          </w:p>
        </w:tc>
        <w:tc>
          <w:tcPr>
            <w:tcW w:w="1417" w:type="dxa"/>
            <w:tcBorders>
              <w:top w:val="nil"/>
              <w:left w:val="nil"/>
              <w:bottom w:val="nil"/>
              <w:right w:val="nil"/>
            </w:tcBorders>
            <w:shd w:val="clear" w:color="auto" w:fill="auto"/>
            <w:noWrap/>
            <w:hideMark/>
          </w:tcPr>
          <w:p w14:paraId="5FF6E01C" w14:textId="77777777" w:rsidR="00F129F7" w:rsidRPr="008253C4" w:rsidRDefault="00F129F7" w:rsidP="008253C4">
            <w:pPr>
              <w:jc w:val="center"/>
              <w:rPr>
                <w:color w:val="000000"/>
                <w:sz w:val="18"/>
                <w:szCs w:val="18"/>
              </w:rPr>
            </w:pPr>
            <w:r w:rsidRPr="008253C4">
              <w:rPr>
                <w:color w:val="000000"/>
                <w:sz w:val="18"/>
                <w:szCs w:val="18"/>
              </w:rPr>
              <w:t>46.40 (12.14)</w:t>
            </w:r>
          </w:p>
        </w:tc>
        <w:tc>
          <w:tcPr>
            <w:tcW w:w="1418" w:type="dxa"/>
            <w:tcBorders>
              <w:top w:val="nil"/>
              <w:left w:val="nil"/>
              <w:bottom w:val="nil"/>
              <w:right w:val="nil"/>
            </w:tcBorders>
            <w:shd w:val="clear" w:color="auto" w:fill="auto"/>
            <w:noWrap/>
            <w:hideMark/>
          </w:tcPr>
          <w:p w14:paraId="1D00881D" w14:textId="77777777" w:rsidR="00F129F7" w:rsidRPr="008253C4" w:rsidRDefault="00F129F7" w:rsidP="008253C4">
            <w:pPr>
              <w:jc w:val="center"/>
              <w:rPr>
                <w:color w:val="000000"/>
                <w:sz w:val="18"/>
                <w:szCs w:val="18"/>
              </w:rPr>
            </w:pPr>
            <w:r w:rsidRPr="008253C4">
              <w:rPr>
                <w:color w:val="000000"/>
                <w:sz w:val="18"/>
                <w:szCs w:val="18"/>
              </w:rPr>
              <w:t>45.81 (12.10)</w:t>
            </w:r>
          </w:p>
        </w:tc>
        <w:tc>
          <w:tcPr>
            <w:tcW w:w="283" w:type="dxa"/>
            <w:tcBorders>
              <w:top w:val="nil"/>
              <w:left w:val="nil"/>
              <w:bottom w:val="nil"/>
              <w:right w:val="nil"/>
            </w:tcBorders>
            <w:shd w:val="clear" w:color="auto" w:fill="auto"/>
            <w:noWrap/>
            <w:hideMark/>
          </w:tcPr>
          <w:p w14:paraId="38727044"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1949AF3B"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142) = 1.01,</w:t>
            </w:r>
            <w:r w:rsidRPr="008253C4">
              <w:rPr>
                <w:color w:val="000000"/>
                <w:sz w:val="18"/>
                <w:szCs w:val="18"/>
              </w:rPr>
              <w:br/>
            </w:r>
            <w:r w:rsidRPr="008253C4">
              <w:rPr>
                <w:i/>
                <w:iCs/>
                <w:color w:val="000000"/>
                <w:sz w:val="18"/>
                <w:szCs w:val="18"/>
              </w:rPr>
              <w:t>p</w:t>
            </w:r>
            <w:r w:rsidRPr="008253C4">
              <w:rPr>
                <w:color w:val="000000"/>
                <w:sz w:val="18"/>
                <w:szCs w:val="18"/>
              </w:rPr>
              <w:t xml:space="preserve"> = .390,</w:t>
            </w:r>
            <w:r w:rsidRPr="008253C4">
              <w:rPr>
                <w:i/>
                <w:iCs/>
                <w:color w:val="000000"/>
                <w:sz w:val="18"/>
                <w:szCs w:val="18"/>
              </w:rPr>
              <w:t xml:space="preserve"> η2</w:t>
            </w:r>
            <w:r w:rsidRPr="008253C4">
              <w:rPr>
                <w:color w:val="000000"/>
                <w:sz w:val="18"/>
                <w:szCs w:val="18"/>
              </w:rPr>
              <w:t xml:space="preserve"> = 0.02</w:t>
            </w:r>
          </w:p>
        </w:tc>
        <w:tc>
          <w:tcPr>
            <w:tcW w:w="1276" w:type="dxa"/>
            <w:vMerge w:val="restart"/>
            <w:tcBorders>
              <w:top w:val="nil"/>
              <w:left w:val="nil"/>
              <w:bottom w:val="nil"/>
              <w:right w:val="nil"/>
            </w:tcBorders>
            <w:shd w:val="clear" w:color="auto" w:fill="auto"/>
            <w:hideMark/>
          </w:tcPr>
          <w:p w14:paraId="3AD42BB2"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142) = 0.62,</w:t>
            </w:r>
            <w:r w:rsidRPr="008253C4">
              <w:rPr>
                <w:color w:val="000000"/>
                <w:sz w:val="18"/>
                <w:szCs w:val="18"/>
              </w:rPr>
              <w:br/>
            </w:r>
            <w:r w:rsidRPr="008253C4">
              <w:rPr>
                <w:i/>
                <w:iCs/>
                <w:color w:val="000000"/>
                <w:sz w:val="18"/>
                <w:szCs w:val="18"/>
              </w:rPr>
              <w:t>p</w:t>
            </w:r>
            <w:r w:rsidRPr="008253C4">
              <w:rPr>
                <w:color w:val="000000"/>
                <w:sz w:val="18"/>
                <w:szCs w:val="18"/>
              </w:rPr>
              <w:t xml:space="preserve"> = .433,</w:t>
            </w:r>
            <w:r w:rsidRPr="008253C4">
              <w:rPr>
                <w:i/>
                <w:iCs/>
                <w:color w:val="000000"/>
                <w:sz w:val="18"/>
                <w:szCs w:val="18"/>
              </w:rPr>
              <w:t xml:space="preserve"> η2</w:t>
            </w:r>
            <w:r w:rsidRPr="008253C4">
              <w:rPr>
                <w:color w:val="000000"/>
                <w:sz w:val="18"/>
                <w:szCs w:val="18"/>
              </w:rPr>
              <w:t xml:space="preserve"> = 0.004</w:t>
            </w:r>
          </w:p>
        </w:tc>
        <w:tc>
          <w:tcPr>
            <w:tcW w:w="1275" w:type="dxa"/>
            <w:vMerge w:val="restart"/>
            <w:tcBorders>
              <w:top w:val="nil"/>
              <w:left w:val="nil"/>
              <w:bottom w:val="nil"/>
              <w:right w:val="nil"/>
            </w:tcBorders>
            <w:shd w:val="clear" w:color="auto" w:fill="auto"/>
            <w:hideMark/>
          </w:tcPr>
          <w:p w14:paraId="789D2D84"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142) = 2.91,</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.037, </w:t>
            </w:r>
            <w:r w:rsidRPr="008253C4">
              <w:rPr>
                <w:b/>
                <w:bCs/>
                <w:i/>
                <w:iCs/>
                <w:color w:val="000000"/>
                <w:sz w:val="18"/>
                <w:szCs w:val="18"/>
              </w:rPr>
              <w:t>η2</w:t>
            </w:r>
            <w:r w:rsidRPr="008253C4">
              <w:rPr>
                <w:b/>
                <w:bCs/>
                <w:color w:val="000000"/>
                <w:sz w:val="18"/>
                <w:szCs w:val="18"/>
              </w:rPr>
              <w:t xml:space="preserve"> = 0.06</w:t>
            </w:r>
          </w:p>
        </w:tc>
      </w:tr>
      <w:tr w:rsidR="00F129F7" w:rsidRPr="00F129F7" w14:paraId="6FD0AE9B" w14:textId="77777777" w:rsidTr="009378CB">
        <w:trPr>
          <w:trHeight w:val="320"/>
        </w:trPr>
        <w:tc>
          <w:tcPr>
            <w:tcW w:w="281" w:type="dxa"/>
            <w:tcBorders>
              <w:top w:val="nil"/>
              <w:left w:val="nil"/>
              <w:bottom w:val="nil"/>
              <w:right w:val="nil"/>
            </w:tcBorders>
            <w:shd w:val="clear" w:color="auto" w:fill="auto"/>
            <w:noWrap/>
            <w:hideMark/>
          </w:tcPr>
          <w:p w14:paraId="25947E89" w14:textId="77777777" w:rsidR="00F129F7" w:rsidRPr="008253C4" w:rsidRDefault="00F129F7" w:rsidP="008253C4">
            <w:pPr>
              <w:jc w:val="center"/>
              <w:rPr>
                <w:b/>
                <w:bCs/>
                <w:color w:val="000000"/>
                <w:sz w:val="18"/>
                <w:szCs w:val="18"/>
              </w:rPr>
            </w:pPr>
          </w:p>
        </w:tc>
        <w:tc>
          <w:tcPr>
            <w:tcW w:w="284" w:type="dxa"/>
            <w:tcBorders>
              <w:top w:val="nil"/>
              <w:left w:val="nil"/>
              <w:bottom w:val="nil"/>
              <w:right w:val="nil"/>
            </w:tcBorders>
            <w:shd w:val="clear" w:color="auto" w:fill="auto"/>
            <w:noWrap/>
            <w:hideMark/>
          </w:tcPr>
          <w:p w14:paraId="4CC724B0"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0ED74264"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731AB09F" w14:textId="77777777" w:rsidR="00F129F7" w:rsidRPr="008253C4" w:rsidRDefault="00F129F7" w:rsidP="008253C4">
            <w:pPr>
              <w:jc w:val="center"/>
              <w:rPr>
                <w:color w:val="000000"/>
                <w:sz w:val="18"/>
                <w:szCs w:val="18"/>
              </w:rPr>
            </w:pPr>
            <w:r w:rsidRPr="008253C4">
              <w:rPr>
                <w:color w:val="000000"/>
                <w:sz w:val="18"/>
                <w:szCs w:val="18"/>
              </w:rPr>
              <w:t>45.62 (10.65)</w:t>
            </w:r>
          </w:p>
        </w:tc>
        <w:tc>
          <w:tcPr>
            <w:tcW w:w="1418" w:type="dxa"/>
            <w:tcBorders>
              <w:top w:val="nil"/>
              <w:left w:val="nil"/>
              <w:bottom w:val="nil"/>
              <w:right w:val="nil"/>
            </w:tcBorders>
            <w:shd w:val="clear" w:color="auto" w:fill="auto"/>
            <w:noWrap/>
            <w:hideMark/>
          </w:tcPr>
          <w:p w14:paraId="61F6A9BD" w14:textId="77777777" w:rsidR="00F129F7" w:rsidRPr="008253C4" w:rsidRDefault="00F129F7" w:rsidP="008253C4">
            <w:pPr>
              <w:jc w:val="center"/>
              <w:rPr>
                <w:color w:val="000000"/>
                <w:sz w:val="18"/>
                <w:szCs w:val="18"/>
              </w:rPr>
            </w:pPr>
            <w:r w:rsidRPr="008253C4">
              <w:rPr>
                <w:color w:val="000000"/>
                <w:sz w:val="18"/>
                <w:szCs w:val="18"/>
              </w:rPr>
              <w:t>46.15 (7.02)</w:t>
            </w:r>
          </w:p>
        </w:tc>
        <w:tc>
          <w:tcPr>
            <w:tcW w:w="1417" w:type="dxa"/>
            <w:tcBorders>
              <w:top w:val="nil"/>
              <w:left w:val="nil"/>
              <w:bottom w:val="nil"/>
              <w:right w:val="nil"/>
            </w:tcBorders>
            <w:shd w:val="clear" w:color="auto" w:fill="auto"/>
            <w:noWrap/>
            <w:hideMark/>
          </w:tcPr>
          <w:p w14:paraId="4EDA99BE" w14:textId="77777777" w:rsidR="00F129F7" w:rsidRPr="008253C4" w:rsidRDefault="00F129F7" w:rsidP="008253C4">
            <w:pPr>
              <w:jc w:val="center"/>
              <w:rPr>
                <w:color w:val="000000"/>
                <w:sz w:val="18"/>
                <w:szCs w:val="18"/>
              </w:rPr>
            </w:pPr>
            <w:r w:rsidRPr="008253C4">
              <w:rPr>
                <w:color w:val="000000"/>
                <w:sz w:val="18"/>
                <w:szCs w:val="18"/>
              </w:rPr>
              <w:t>50.07 (14.11)</w:t>
            </w:r>
          </w:p>
        </w:tc>
        <w:tc>
          <w:tcPr>
            <w:tcW w:w="1418" w:type="dxa"/>
            <w:tcBorders>
              <w:top w:val="nil"/>
              <w:left w:val="nil"/>
              <w:bottom w:val="nil"/>
              <w:right w:val="nil"/>
            </w:tcBorders>
            <w:shd w:val="clear" w:color="auto" w:fill="auto"/>
            <w:noWrap/>
            <w:hideMark/>
          </w:tcPr>
          <w:p w14:paraId="3348DEF2" w14:textId="77777777" w:rsidR="00F129F7" w:rsidRPr="008253C4" w:rsidRDefault="00F129F7" w:rsidP="008253C4">
            <w:pPr>
              <w:jc w:val="center"/>
              <w:rPr>
                <w:color w:val="000000"/>
                <w:sz w:val="18"/>
                <w:szCs w:val="18"/>
              </w:rPr>
            </w:pPr>
            <w:r w:rsidRPr="008253C4">
              <w:rPr>
                <w:color w:val="000000"/>
                <w:sz w:val="18"/>
                <w:szCs w:val="18"/>
              </w:rPr>
              <w:t>39.90 (9.45)</w:t>
            </w:r>
          </w:p>
        </w:tc>
        <w:tc>
          <w:tcPr>
            <w:tcW w:w="283" w:type="dxa"/>
            <w:tcBorders>
              <w:top w:val="nil"/>
              <w:left w:val="nil"/>
              <w:bottom w:val="nil"/>
              <w:right w:val="nil"/>
            </w:tcBorders>
            <w:shd w:val="clear" w:color="auto" w:fill="auto"/>
            <w:noWrap/>
            <w:hideMark/>
          </w:tcPr>
          <w:p w14:paraId="0D9DCA5A"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79688967" w14:textId="77777777" w:rsidR="00F129F7" w:rsidRPr="008253C4" w:rsidRDefault="00F129F7" w:rsidP="008253C4">
            <w:pPr>
              <w:rPr>
                <w:color w:val="000000"/>
                <w:sz w:val="18"/>
                <w:szCs w:val="18"/>
              </w:rPr>
            </w:pPr>
          </w:p>
        </w:tc>
        <w:tc>
          <w:tcPr>
            <w:tcW w:w="1276" w:type="dxa"/>
            <w:vMerge/>
            <w:tcBorders>
              <w:top w:val="nil"/>
              <w:left w:val="nil"/>
              <w:bottom w:val="nil"/>
              <w:right w:val="nil"/>
            </w:tcBorders>
            <w:hideMark/>
          </w:tcPr>
          <w:p w14:paraId="3A6C22CA"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617F6849" w14:textId="77777777" w:rsidR="00F129F7" w:rsidRPr="008253C4" w:rsidRDefault="00F129F7" w:rsidP="008253C4">
            <w:pPr>
              <w:rPr>
                <w:b/>
                <w:bCs/>
                <w:color w:val="000000"/>
                <w:sz w:val="18"/>
                <w:szCs w:val="18"/>
              </w:rPr>
            </w:pPr>
          </w:p>
        </w:tc>
      </w:tr>
      <w:tr w:rsidR="00F129F7" w:rsidRPr="00F129F7" w14:paraId="38B0EF35" w14:textId="77777777" w:rsidTr="009378CB">
        <w:trPr>
          <w:trHeight w:val="320"/>
        </w:trPr>
        <w:tc>
          <w:tcPr>
            <w:tcW w:w="281" w:type="dxa"/>
            <w:tcBorders>
              <w:top w:val="nil"/>
              <w:left w:val="nil"/>
              <w:bottom w:val="nil"/>
              <w:right w:val="nil"/>
            </w:tcBorders>
            <w:shd w:val="clear" w:color="auto" w:fill="auto"/>
            <w:noWrap/>
            <w:hideMark/>
          </w:tcPr>
          <w:p w14:paraId="33C75457" w14:textId="77777777" w:rsidR="00F129F7" w:rsidRPr="008253C4" w:rsidRDefault="00F129F7" w:rsidP="008253C4">
            <w:pPr>
              <w:jc w:val="center"/>
              <w:rPr>
                <w:sz w:val="18"/>
                <w:szCs w:val="18"/>
              </w:rPr>
            </w:pPr>
          </w:p>
        </w:tc>
        <w:tc>
          <w:tcPr>
            <w:tcW w:w="4114" w:type="dxa"/>
            <w:gridSpan w:val="4"/>
            <w:tcBorders>
              <w:top w:val="nil"/>
              <w:left w:val="nil"/>
              <w:bottom w:val="nil"/>
              <w:right w:val="nil"/>
            </w:tcBorders>
            <w:shd w:val="clear" w:color="auto" w:fill="auto"/>
            <w:noWrap/>
            <w:hideMark/>
          </w:tcPr>
          <w:p w14:paraId="00FB53F8" w14:textId="77777777" w:rsidR="00F129F7" w:rsidRPr="008253C4" w:rsidRDefault="00F129F7" w:rsidP="008253C4">
            <w:pPr>
              <w:rPr>
                <w:color w:val="000000"/>
                <w:sz w:val="18"/>
                <w:szCs w:val="18"/>
              </w:rPr>
            </w:pPr>
            <w:r w:rsidRPr="008253C4">
              <w:rPr>
                <w:color w:val="000000"/>
                <w:sz w:val="18"/>
                <w:szCs w:val="18"/>
              </w:rPr>
              <w:t>Relative interdialytic weight gain (</w:t>
            </w:r>
            <w:proofErr w:type="spellStart"/>
            <w:r w:rsidRPr="008253C4">
              <w:rPr>
                <w:color w:val="000000"/>
                <w:sz w:val="18"/>
                <w:szCs w:val="18"/>
              </w:rPr>
              <w:t>IDWGr</w:t>
            </w:r>
            <w:proofErr w:type="spellEnd"/>
            <w:r w:rsidRPr="008253C4">
              <w:rPr>
                <w:color w:val="000000"/>
                <w:sz w:val="18"/>
                <w:szCs w:val="18"/>
              </w:rPr>
              <w:t>)</w:t>
            </w:r>
          </w:p>
        </w:tc>
        <w:tc>
          <w:tcPr>
            <w:tcW w:w="1417" w:type="dxa"/>
            <w:tcBorders>
              <w:top w:val="nil"/>
              <w:left w:val="nil"/>
              <w:bottom w:val="nil"/>
              <w:right w:val="nil"/>
            </w:tcBorders>
            <w:shd w:val="clear" w:color="auto" w:fill="auto"/>
            <w:noWrap/>
            <w:hideMark/>
          </w:tcPr>
          <w:p w14:paraId="44D0F3B6" w14:textId="77777777" w:rsidR="00F129F7" w:rsidRPr="008253C4" w:rsidRDefault="00F129F7" w:rsidP="008253C4">
            <w:pPr>
              <w:rPr>
                <w:color w:val="000000"/>
                <w:sz w:val="18"/>
                <w:szCs w:val="18"/>
              </w:rPr>
            </w:pPr>
          </w:p>
        </w:tc>
        <w:tc>
          <w:tcPr>
            <w:tcW w:w="1418" w:type="dxa"/>
            <w:tcBorders>
              <w:top w:val="nil"/>
              <w:left w:val="nil"/>
              <w:bottom w:val="nil"/>
              <w:right w:val="nil"/>
            </w:tcBorders>
            <w:shd w:val="clear" w:color="auto" w:fill="auto"/>
            <w:noWrap/>
            <w:hideMark/>
          </w:tcPr>
          <w:p w14:paraId="1F2263D0"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055BE793"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31CFB10B"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07C7C725"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162F893F" w14:textId="77777777" w:rsidR="00F129F7" w:rsidRPr="008253C4" w:rsidRDefault="00F129F7" w:rsidP="008253C4">
            <w:pPr>
              <w:rPr>
                <w:sz w:val="18"/>
                <w:szCs w:val="18"/>
              </w:rPr>
            </w:pPr>
          </w:p>
        </w:tc>
      </w:tr>
      <w:tr w:rsidR="00F129F7" w:rsidRPr="00F129F7" w14:paraId="44E24598" w14:textId="77777777" w:rsidTr="009378CB">
        <w:trPr>
          <w:trHeight w:val="320"/>
        </w:trPr>
        <w:tc>
          <w:tcPr>
            <w:tcW w:w="281" w:type="dxa"/>
            <w:tcBorders>
              <w:top w:val="nil"/>
              <w:left w:val="nil"/>
              <w:bottom w:val="nil"/>
              <w:right w:val="nil"/>
            </w:tcBorders>
            <w:shd w:val="clear" w:color="auto" w:fill="auto"/>
            <w:noWrap/>
            <w:hideMark/>
          </w:tcPr>
          <w:p w14:paraId="76D59C5E"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7BDCB35D"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5CD9E24E"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2DCBBD5A" w14:textId="77777777" w:rsidR="00F129F7" w:rsidRPr="008253C4" w:rsidRDefault="00F129F7" w:rsidP="008253C4">
            <w:pPr>
              <w:jc w:val="center"/>
              <w:rPr>
                <w:color w:val="000000"/>
                <w:sz w:val="18"/>
                <w:szCs w:val="18"/>
              </w:rPr>
            </w:pPr>
            <w:r w:rsidRPr="008253C4">
              <w:rPr>
                <w:color w:val="000000"/>
                <w:sz w:val="18"/>
                <w:szCs w:val="18"/>
              </w:rPr>
              <w:t>3.77 (1.06)</w:t>
            </w:r>
          </w:p>
        </w:tc>
        <w:tc>
          <w:tcPr>
            <w:tcW w:w="1418" w:type="dxa"/>
            <w:tcBorders>
              <w:top w:val="nil"/>
              <w:left w:val="nil"/>
              <w:bottom w:val="nil"/>
              <w:right w:val="nil"/>
            </w:tcBorders>
            <w:shd w:val="clear" w:color="auto" w:fill="auto"/>
            <w:noWrap/>
            <w:hideMark/>
          </w:tcPr>
          <w:p w14:paraId="7C2BF890" w14:textId="77777777" w:rsidR="00F129F7" w:rsidRPr="008253C4" w:rsidRDefault="00F129F7" w:rsidP="008253C4">
            <w:pPr>
              <w:jc w:val="center"/>
              <w:rPr>
                <w:color w:val="000000"/>
                <w:sz w:val="18"/>
                <w:szCs w:val="18"/>
              </w:rPr>
            </w:pPr>
            <w:r w:rsidRPr="008253C4">
              <w:rPr>
                <w:color w:val="000000"/>
                <w:sz w:val="18"/>
                <w:szCs w:val="18"/>
              </w:rPr>
              <w:t>3.98 (1.21)</w:t>
            </w:r>
          </w:p>
        </w:tc>
        <w:tc>
          <w:tcPr>
            <w:tcW w:w="1417" w:type="dxa"/>
            <w:tcBorders>
              <w:top w:val="nil"/>
              <w:left w:val="nil"/>
              <w:bottom w:val="nil"/>
              <w:right w:val="nil"/>
            </w:tcBorders>
            <w:shd w:val="clear" w:color="auto" w:fill="auto"/>
            <w:noWrap/>
            <w:hideMark/>
          </w:tcPr>
          <w:p w14:paraId="3DEBA878" w14:textId="77777777" w:rsidR="00F129F7" w:rsidRPr="008253C4" w:rsidRDefault="00F129F7" w:rsidP="008253C4">
            <w:pPr>
              <w:jc w:val="center"/>
              <w:rPr>
                <w:color w:val="000000"/>
                <w:sz w:val="18"/>
                <w:szCs w:val="18"/>
              </w:rPr>
            </w:pPr>
            <w:r w:rsidRPr="008253C4">
              <w:rPr>
                <w:color w:val="000000"/>
                <w:sz w:val="18"/>
                <w:szCs w:val="18"/>
              </w:rPr>
              <w:t>4.05 (1.11)</w:t>
            </w:r>
          </w:p>
        </w:tc>
        <w:tc>
          <w:tcPr>
            <w:tcW w:w="1418" w:type="dxa"/>
            <w:tcBorders>
              <w:top w:val="nil"/>
              <w:left w:val="nil"/>
              <w:bottom w:val="nil"/>
              <w:right w:val="nil"/>
            </w:tcBorders>
            <w:shd w:val="clear" w:color="auto" w:fill="auto"/>
            <w:noWrap/>
            <w:hideMark/>
          </w:tcPr>
          <w:p w14:paraId="14AADCB0" w14:textId="77777777" w:rsidR="00F129F7" w:rsidRPr="008253C4" w:rsidRDefault="00F129F7" w:rsidP="008253C4">
            <w:pPr>
              <w:jc w:val="center"/>
              <w:rPr>
                <w:color w:val="000000"/>
                <w:sz w:val="18"/>
                <w:szCs w:val="18"/>
              </w:rPr>
            </w:pPr>
            <w:r w:rsidRPr="008253C4">
              <w:rPr>
                <w:color w:val="000000"/>
                <w:sz w:val="18"/>
                <w:szCs w:val="18"/>
              </w:rPr>
              <w:t>4.13 (1.19)</w:t>
            </w:r>
          </w:p>
        </w:tc>
        <w:tc>
          <w:tcPr>
            <w:tcW w:w="283" w:type="dxa"/>
            <w:tcBorders>
              <w:top w:val="nil"/>
              <w:left w:val="nil"/>
              <w:bottom w:val="nil"/>
              <w:right w:val="nil"/>
            </w:tcBorders>
            <w:shd w:val="clear" w:color="auto" w:fill="auto"/>
            <w:noWrap/>
            <w:hideMark/>
          </w:tcPr>
          <w:p w14:paraId="79E0FE49"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4788391F"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140) = 1.85,</w:t>
            </w:r>
            <w:r w:rsidRPr="008253C4">
              <w:rPr>
                <w:color w:val="000000"/>
                <w:sz w:val="18"/>
                <w:szCs w:val="18"/>
              </w:rPr>
              <w:br/>
            </w:r>
            <w:r w:rsidRPr="008253C4">
              <w:rPr>
                <w:i/>
                <w:iCs/>
                <w:color w:val="000000"/>
                <w:sz w:val="18"/>
                <w:szCs w:val="18"/>
              </w:rPr>
              <w:t>p</w:t>
            </w:r>
            <w:r w:rsidRPr="008253C4">
              <w:rPr>
                <w:color w:val="000000"/>
                <w:sz w:val="18"/>
                <w:szCs w:val="18"/>
              </w:rPr>
              <w:t xml:space="preserve"> = .141, </w:t>
            </w:r>
            <w:r w:rsidRPr="008253C4">
              <w:rPr>
                <w:i/>
                <w:iCs/>
                <w:color w:val="000000"/>
                <w:sz w:val="18"/>
                <w:szCs w:val="18"/>
              </w:rPr>
              <w:t>η2</w:t>
            </w:r>
            <w:r w:rsidRPr="008253C4">
              <w:rPr>
                <w:color w:val="000000"/>
                <w:sz w:val="18"/>
                <w:szCs w:val="18"/>
              </w:rPr>
              <w:t xml:space="preserve"> = 0.04</w:t>
            </w:r>
          </w:p>
        </w:tc>
        <w:tc>
          <w:tcPr>
            <w:tcW w:w="1276" w:type="dxa"/>
            <w:vMerge w:val="restart"/>
            <w:tcBorders>
              <w:top w:val="nil"/>
              <w:left w:val="nil"/>
              <w:bottom w:val="nil"/>
              <w:right w:val="nil"/>
            </w:tcBorders>
            <w:shd w:val="clear" w:color="auto" w:fill="auto"/>
            <w:hideMark/>
          </w:tcPr>
          <w:p w14:paraId="500424D1"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140) = 0.01,</w:t>
            </w:r>
            <w:r w:rsidRPr="008253C4">
              <w:rPr>
                <w:color w:val="000000"/>
                <w:sz w:val="18"/>
                <w:szCs w:val="18"/>
              </w:rPr>
              <w:br/>
            </w:r>
            <w:r w:rsidRPr="008253C4">
              <w:rPr>
                <w:i/>
                <w:iCs/>
                <w:color w:val="000000"/>
                <w:sz w:val="18"/>
                <w:szCs w:val="18"/>
              </w:rPr>
              <w:t>p</w:t>
            </w:r>
            <w:r w:rsidRPr="008253C4">
              <w:rPr>
                <w:color w:val="000000"/>
                <w:sz w:val="18"/>
                <w:szCs w:val="18"/>
              </w:rPr>
              <w:t xml:space="preserve"> = .937, </w:t>
            </w:r>
            <w:r w:rsidRPr="008253C4">
              <w:rPr>
                <w:i/>
                <w:iCs/>
                <w:color w:val="000000"/>
                <w:sz w:val="18"/>
                <w:szCs w:val="18"/>
              </w:rPr>
              <w:t>η2</w:t>
            </w:r>
            <w:r w:rsidRPr="008253C4">
              <w:rPr>
                <w:color w:val="000000"/>
                <w:sz w:val="18"/>
                <w:szCs w:val="18"/>
              </w:rPr>
              <w:t xml:space="preserve"> = 0.000</w:t>
            </w:r>
          </w:p>
        </w:tc>
        <w:tc>
          <w:tcPr>
            <w:tcW w:w="1275" w:type="dxa"/>
            <w:vMerge w:val="restart"/>
            <w:tcBorders>
              <w:top w:val="nil"/>
              <w:left w:val="nil"/>
              <w:bottom w:val="nil"/>
              <w:right w:val="nil"/>
            </w:tcBorders>
            <w:shd w:val="clear" w:color="auto" w:fill="auto"/>
            <w:hideMark/>
          </w:tcPr>
          <w:p w14:paraId="4A053580"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140) = 1.33,</w:t>
            </w:r>
            <w:r w:rsidRPr="008253C4">
              <w:rPr>
                <w:color w:val="000000"/>
                <w:sz w:val="18"/>
                <w:szCs w:val="18"/>
              </w:rPr>
              <w:br/>
            </w:r>
            <w:r w:rsidRPr="008253C4">
              <w:rPr>
                <w:i/>
                <w:iCs/>
                <w:color w:val="000000"/>
                <w:sz w:val="18"/>
                <w:szCs w:val="18"/>
              </w:rPr>
              <w:t>p</w:t>
            </w:r>
            <w:r w:rsidRPr="008253C4">
              <w:rPr>
                <w:color w:val="000000"/>
                <w:sz w:val="18"/>
                <w:szCs w:val="18"/>
              </w:rPr>
              <w:t xml:space="preserve"> = .269, </w:t>
            </w:r>
            <w:r w:rsidRPr="008253C4">
              <w:rPr>
                <w:i/>
                <w:iCs/>
                <w:color w:val="000000"/>
                <w:sz w:val="18"/>
                <w:szCs w:val="18"/>
              </w:rPr>
              <w:t>η2</w:t>
            </w:r>
            <w:r w:rsidRPr="008253C4">
              <w:rPr>
                <w:color w:val="000000"/>
                <w:sz w:val="18"/>
                <w:szCs w:val="18"/>
              </w:rPr>
              <w:t xml:space="preserve"> = 0.03</w:t>
            </w:r>
          </w:p>
        </w:tc>
      </w:tr>
      <w:tr w:rsidR="00F129F7" w:rsidRPr="00F129F7" w14:paraId="47CC05C3" w14:textId="77777777" w:rsidTr="009378CB">
        <w:trPr>
          <w:trHeight w:val="320"/>
        </w:trPr>
        <w:tc>
          <w:tcPr>
            <w:tcW w:w="281" w:type="dxa"/>
            <w:tcBorders>
              <w:top w:val="nil"/>
              <w:left w:val="nil"/>
              <w:bottom w:val="nil"/>
              <w:right w:val="nil"/>
            </w:tcBorders>
            <w:shd w:val="clear" w:color="auto" w:fill="auto"/>
            <w:noWrap/>
            <w:hideMark/>
          </w:tcPr>
          <w:p w14:paraId="3794A6BF"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5CCDAEA6"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59B1F829"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1B8A1F47" w14:textId="77777777" w:rsidR="00F129F7" w:rsidRPr="008253C4" w:rsidRDefault="00F129F7" w:rsidP="008253C4">
            <w:pPr>
              <w:jc w:val="center"/>
              <w:rPr>
                <w:color w:val="000000"/>
                <w:sz w:val="18"/>
                <w:szCs w:val="18"/>
              </w:rPr>
            </w:pPr>
            <w:r w:rsidRPr="008253C4">
              <w:rPr>
                <w:color w:val="000000"/>
                <w:sz w:val="18"/>
                <w:szCs w:val="18"/>
              </w:rPr>
              <w:t>3.58 (1.21)</w:t>
            </w:r>
          </w:p>
        </w:tc>
        <w:tc>
          <w:tcPr>
            <w:tcW w:w="1418" w:type="dxa"/>
            <w:tcBorders>
              <w:top w:val="nil"/>
              <w:left w:val="nil"/>
              <w:bottom w:val="nil"/>
              <w:right w:val="nil"/>
            </w:tcBorders>
            <w:shd w:val="clear" w:color="auto" w:fill="auto"/>
            <w:noWrap/>
            <w:hideMark/>
          </w:tcPr>
          <w:p w14:paraId="1CDEAD3A" w14:textId="77777777" w:rsidR="00F129F7" w:rsidRPr="008253C4" w:rsidRDefault="00F129F7" w:rsidP="008253C4">
            <w:pPr>
              <w:jc w:val="center"/>
              <w:rPr>
                <w:color w:val="000000"/>
                <w:sz w:val="18"/>
                <w:szCs w:val="18"/>
              </w:rPr>
            </w:pPr>
            <w:r w:rsidRPr="008253C4">
              <w:rPr>
                <w:color w:val="000000"/>
                <w:sz w:val="18"/>
                <w:szCs w:val="18"/>
              </w:rPr>
              <w:t>4.32 (1.55)</w:t>
            </w:r>
          </w:p>
        </w:tc>
        <w:tc>
          <w:tcPr>
            <w:tcW w:w="1417" w:type="dxa"/>
            <w:tcBorders>
              <w:top w:val="nil"/>
              <w:left w:val="nil"/>
              <w:bottom w:val="nil"/>
              <w:right w:val="nil"/>
            </w:tcBorders>
            <w:shd w:val="clear" w:color="auto" w:fill="auto"/>
            <w:noWrap/>
            <w:hideMark/>
          </w:tcPr>
          <w:p w14:paraId="25A85A05" w14:textId="77777777" w:rsidR="00F129F7" w:rsidRPr="008253C4" w:rsidRDefault="00F129F7" w:rsidP="008253C4">
            <w:pPr>
              <w:jc w:val="center"/>
              <w:rPr>
                <w:color w:val="000000"/>
                <w:sz w:val="18"/>
                <w:szCs w:val="18"/>
              </w:rPr>
            </w:pPr>
            <w:r w:rsidRPr="008253C4">
              <w:rPr>
                <w:color w:val="000000"/>
                <w:sz w:val="18"/>
                <w:szCs w:val="18"/>
              </w:rPr>
              <w:t>4.12 (0.86)</w:t>
            </w:r>
          </w:p>
        </w:tc>
        <w:tc>
          <w:tcPr>
            <w:tcW w:w="1418" w:type="dxa"/>
            <w:tcBorders>
              <w:top w:val="nil"/>
              <w:left w:val="nil"/>
              <w:bottom w:val="nil"/>
              <w:right w:val="nil"/>
            </w:tcBorders>
            <w:shd w:val="clear" w:color="auto" w:fill="auto"/>
            <w:noWrap/>
            <w:hideMark/>
          </w:tcPr>
          <w:p w14:paraId="46924463" w14:textId="77777777" w:rsidR="00F129F7" w:rsidRPr="008253C4" w:rsidRDefault="00F129F7" w:rsidP="008253C4">
            <w:pPr>
              <w:jc w:val="center"/>
              <w:rPr>
                <w:color w:val="000000"/>
                <w:sz w:val="18"/>
                <w:szCs w:val="18"/>
              </w:rPr>
            </w:pPr>
            <w:r w:rsidRPr="008253C4">
              <w:rPr>
                <w:color w:val="000000"/>
                <w:sz w:val="18"/>
                <w:szCs w:val="18"/>
              </w:rPr>
              <w:t>3.96 (0.96)</w:t>
            </w:r>
          </w:p>
        </w:tc>
        <w:tc>
          <w:tcPr>
            <w:tcW w:w="283" w:type="dxa"/>
            <w:tcBorders>
              <w:top w:val="nil"/>
              <w:left w:val="nil"/>
              <w:bottom w:val="nil"/>
              <w:right w:val="nil"/>
            </w:tcBorders>
            <w:shd w:val="clear" w:color="auto" w:fill="auto"/>
            <w:noWrap/>
            <w:hideMark/>
          </w:tcPr>
          <w:p w14:paraId="74566A3F"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3236DC63" w14:textId="77777777" w:rsidR="00F129F7" w:rsidRPr="008253C4" w:rsidRDefault="00F129F7" w:rsidP="008253C4">
            <w:pPr>
              <w:rPr>
                <w:color w:val="000000"/>
                <w:sz w:val="18"/>
                <w:szCs w:val="18"/>
              </w:rPr>
            </w:pPr>
          </w:p>
        </w:tc>
        <w:tc>
          <w:tcPr>
            <w:tcW w:w="1276" w:type="dxa"/>
            <w:vMerge/>
            <w:tcBorders>
              <w:top w:val="nil"/>
              <w:left w:val="nil"/>
              <w:bottom w:val="nil"/>
              <w:right w:val="nil"/>
            </w:tcBorders>
            <w:hideMark/>
          </w:tcPr>
          <w:p w14:paraId="7DB19236"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20431010" w14:textId="77777777" w:rsidR="00F129F7" w:rsidRPr="008253C4" w:rsidRDefault="00F129F7" w:rsidP="008253C4">
            <w:pPr>
              <w:rPr>
                <w:color w:val="000000"/>
                <w:sz w:val="18"/>
                <w:szCs w:val="18"/>
              </w:rPr>
            </w:pPr>
          </w:p>
        </w:tc>
      </w:tr>
      <w:tr w:rsidR="00F129F7" w:rsidRPr="00F129F7" w14:paraId="5751B399" w14:textId="77777777" w:rsidTr="009378CB">
        <w:trPr>
          <w:trHeight w:val="320"/>
        </w:trPr>
        <w:tc>
          <w:tcPr>
            <w:tcW w:w="2977" w:type="dxa"/>
            <w:gridSpan w:val="4"/>
            <w:tcBorders>
              <w:top w:val="nil"/>
              <w:left w:val="nil"/>
              <w:bottom w:val="nil"/>
              <w:right w:val="nil"/>
            </w:tcBorders>
            <w:shd w:val="clear" w:color="auto" w:fill="auto"/>
            <w:noWrap/>
            <w:hideMark/>
          </w:tcPr>
          <w:p w14:paraId="7905DC68" w14:textId="77777777" w:rsidR="00F129F7" w:rsidRPr="008253C4" w:rsidRDefault="00F129F7" w:rsidP="008253C4">
            <w:pPr>
              <w:rPr>
                <w:color w:val="000000"/>
                <w:sz w:val="18"/>
                <w:szCs w:val="18"/>
              </w:rPr>
            </w:pPr>
            <w:r w:rsidRPr="008253C4">
              <w:rPr>
                <w:color w:val="000000"/>
                <w:sz w:val="18"/>
                <w:szCs w:val="18"/>
              </w:rPr>
              <w:t>Patient-reported outcomes</w:t>
            </w:r>
          </w:p>
        </w:tc>
        <w:tc>
          <w:tcPr>
            <w:tcW w:w="1418" w:type="dxa"/>
            <w:tcBorders>
              <w:top w:val="nil"/>
              <w:left w:val="nil"/>
              <w:bottom w:val="nil"/>
              <w:right w:val="nil"/>
            </w:tcBorders>
            <w:shd w:val="clear" w:color="auto" w:fill="auto"/>
            <w:noWrap/>
            <w:hideMark/>
          </w:tcPr>
          <w:p w14:paraId="70E5886D"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30AFA72C" w14:textId="77777777" w:rsidR="00F129F7" w:rsidRPr="008253C4" w:rsidRDefault="00F129F7" w:rsidP="008253C4">
            <w:pPr>
              <w:rPr>
                <w:sz w:val="18"/>
                <w:szCs w:val="18"/>
              </w:rPr>
            </w:pPr>
          </w:p>
        </w:tc>
        <w:tc>
          <w:tcPr>
            <w:tcW w:w="1418" w:type="dxa"/>
            <w:tcBorders>
              <w:top w:val="nil"/>
              <w:left w:val="nil"/>
              <w:bottom w:val="nil"/>
              <w:right w:val="nil"/>
            </w:tcBorders>
            <w:shd w:val="clear" w:color="auto" w:fill="auto"/>
            <w:noWrap/>
            <w:hideMark/>
          </w:tcPr>
          <w:p w14:paraId="5DAD1A46" w14:textId="77777777" w:rsidR="00F129F7" w:rsidRPr="008253C4" w:rsidRDefault="00F129F7" w:rsidP="008253C4">
            <w:pPr>
              <w:rPr>
                <w:sz w:val="18"/>
                <w:szCs w:val="18"/>
              </w:rPr>
            </w:pPr>
          </w:p>
        </w:tc>
        <w:tc>
          <w:tcPr>
            <w:tcW w:w="283" w:type="dxa"/>
            <w:tcBorders>
              <w:top w:val="nil"/>
              <w:left w:val="nil"/>
              <w:bottom w:val="nil"/>
              <w:right w:val="nil"/>
            </w:tcBorders>
            <w:shd w:val="clear" w:color="auto" w:fill="auto"/>
            <w:noWrap/>
            <w:hideMark/>
          </w:tcPr>
          <w:p w14:paraId="54D5E0B8" w14:textId="77777777" w:rsidR="00F129F7" w:rsidRPr="008253C4" w:rsidRDefault="00F129F7" w:rsidP="008253C4">
            <w:pPr>
              <w:rPr>
                <w:sz w:val="18"/>
                <w:szCs w:val="18"/>
              </w:rPr>
            </w:pPr>
          </w:p>
        </w:tc>
        <w:tc>
          <w:tcPr>
            <w:tcW w:w="1418" w:type="dxa"/>
            <w:tcBorders>
              <w:top w:val="nil"/>
              <w:left w:val="nil"/>
              <w:bottom w:val="nil"/>
              <w:right w:val="nil"/>
            </w:tcBorders>
            <w:shd w:val="clear" w:color="auto" w:fill="auto"/>
            <w:noWrap/>
            <w:hideMark/>
          </w:tcPr>
          <w:p w14:paraId="2C1AE543" w14:textId="77777777" w:rsidR="00F129F7" w:rsidRPr="008253C4" w:rsidRDefault="00F129F7" w:rsidP="008253C4">
            <w:pPr>
              <w:rPr>
                <w:sz w:val="18"/>
                <w:szCs w:val="18"/>
              </w:rPr>
            </w:pPr>
          </w:p>
        </w:tc>
        <w:tc>
          <w:tcPr>
            <w:tcW w:w="1276" w:type="dxa"/>
            <w:tcBorders>
              <w:top w:val="nil"/>
              <w:left w:val="nil"/>
              <w:bottom w:val="nil"/>
              <w:right w:val="nil"/>
            </w:tcBorders>
            <w:shd w:val="clear" w:color="auto" w:fill="auto"/>
            <w:noWrap/>
            <w:hideMark/>
          </w:tcPr>
          <w:p w14:paraId="1ED9FCD4" w14:textId="77777777" w:rsidR="00F129F7" w:rsidRPr="008253C4" w:rsidRDefault="00F129F7" w:rsidP="008253C4">
            <w:pPr>
              <w:rPr>
                <w:sz w:val="18"/>
                <w:szCs w:val="18"/>
              </w:rPr>
            </w:pPr>
          </w:p>
        </w:tc>
        <w:tc>
          <w:tcPr>
            <w:tcW w:w="1275" w:type="dxa"/>
            <w:tcBorders>
              <w:top w:val="nil"/>
              <w:left w:val="nil"/>
              <w:bottom w:val="nil"/>
              <w:right w:val="nil"/>
            </w:tcBorders>
            <w:shd w:val="clear" w:color="auto" w:fill="auto"/>
            <w:noWrap/>
            <w:hideMark/>
          </w:tcPr>
          <w:p w14:paraId="2BC5216A" w14:textId="77777777" w:rsidR="00F129F7" w:rsidRPr="008253C4" w:rsidRDefault="00F129F7" w:rsidP="008253C4">
            <w:pPr>
              <w:rPr>
                <w:sz w:val="18"/>
                <w:szCs w:val="18"/>
              </w:rPr>
            </w:pPr>
          </w:p>
        </w:tc>
      </w:tr>
      <w:tr w:rsidR="00F129F7" w:rsidRPr="00F129F7" w14:paraId="1F7AB509" w14:textId="77777777" w:rsidTr="009378CB">
        <w:trPr>
          <w:trHeight w:val="320"/>
        </w:trPr>
        <w:tc>
          <w:tcPr>
            <w:tcW w:w="281" w:type="dxa"/>
            <w:tcBorders>
              <w:top w:val="nil"/>
              <w:left w:val="nil"/>
              <w:bottom w:val="nil"/>
              <w:right w:val="nil"/>
            </w:tcBorders>
            <w:shd w:val="clear" w:color="auto" w:fill="auto"/>
            <w:noWrap/>
            <w:hideMark/>
          </w:tcPr>
          <w:p w14:paraId="3E03C39A" w14:textId="77777777" w:rsidR="00F129F7" w:rsidRPr="008253C4" w:rsidRDefault="00F129F7" w:rsidP="008253C4">
            <w:pPr>
              <w:rPr>
                <w:sz w:val="18"/>
                <w:szCs w:val="18"/>
              </w:rPr>
            </w:pPr>
          </w:p>
        </w:tc>
        <w:tc>
          <w:tcPr>
            <w:tcW w:w="1279" w:type="dxa"/>
            <w:gridSpan w:val="2"/>
            <w:tcBorders>
              <w:top w:val="nil"/>
              <w:left w:val="nil"/>
              <w:bottom w:val="nil"/>
              <w:right w:val="nil"/>
            </w:tcBorders>
            <w:shd w:val="clear" w:color="auto" w:fill="auto"/>
            <w:noWrap/>
            <w:hideMark/>
          </w:tcPr>
          <w:p w14:paraId="3173B055" w14:textId="77777777" w:rsidR="00F129F7" w:rsidRPr="008253C4" w:rsidRDefault="00F129F7" w:rsidP="008253C4">
            <w:pPr>
              <w:rPr>
                <w:color w:val="000000"/>
                <w:sz w:val="18"/>
                <w:szCs w:val="18"/>
              </w:rPr>
            </w:pPr>
            <w:r w:rsidRPr="008253C4">
              <w:rPr>
                <w:color w:val="000000"/>
                <w:sz w:val="18"/>
                <w:szCs w:val="18"/>
              </w:rPr>
              <w:t>KDQOL-CF</w:t>
            </w:r>
          </w:p>
        </w:tc>
        <w:tc>
          <w:tcPr>
            <w:tcW w:w="1417" w:type="dxa"/>
            <w:tcBorders>
              <w:top w:val="nil"/>
              <w:left w:val="nil"/>
              <w:bottom w:val="nil"/>
              <w:right w:val="nil"/>
            </w:tcBorders>
            <w:shd w:val="clear" w:color="auto" w:fill="auto"/>
            <w:noWrap/>
            <w:hideMark/>
          </w:tcPr>
          <w:p w14:paraId="3E4067FF" w14:textId="77777777" w:rsidR="00F129F7" w:rsidRPr="008253C4" w:rsidRDefault="00F129F7" w:rsidP="008253C4">
            <w:pPr>
              <w:rPr>
                <w:color w:val="000000"/>
                <w:sz w:val="18"/>
                <w:szCs w:val="18"/>
              </w:rPr>
            </w:pPr>
          </w:p>
        </w:tc>
        <w:tc>
          <w:tcPr>
            <w:tcW w:w="1418" w:type="dxa"/>
            <w:tcBorders>
              <w:top w:val="nil"/>
              <w:left w:val="nil"/>
              <w:bottom w:val="nil"/>
              <w:right w:val="nil"/>
            </w:tcBorders>
            <w:shd w:val="clear" w:color="auto" w:fill="auto"/>
            <w:noWrap/>
            <w:hideMark/>
          </w:tcPr>
          <w:p w14:paraId="47E2878A" w14:textId="77777777" w:rsidR="00F129F7" w:rsidRPr="008253C4" w:rsidRDefault="00F129F7" w:rsidP="008253C4">
            <w:pPr>
              <w:rPr>
                <w:sz w:val="18"/>
                <w:szCs w:val="18"/>
              </w:rPr>
            </w:pPr>
          </w:p>
        </w:tc>
        <w:tc>
          <w:tcPr>
            <w:tcW w:w="1417" w:type="dxa"/>
            <w:tcBorders>
              <w:top w:val="nil"/>
              <w:left w:val="nil"/>
              <w:bottom w:val="nil"/>
              <w:right w:val="nil"/>
            </w:tcBorders>
            <w:shd w:val="clear" w:color="auto" w:fill="auto"/>
            <w:noWrap/>
            <w:hideMark/>
          </w:tcPr>
          <w:p w14:paraId="5876942B" w14:textId="77777777" w:rsidR="00F129F7" w:rsidRPr="008253C4" w:rsidRDefault="00F129F7" w:rsidP="008253C4">
            <w:pPr>
              <w:rPr>
                <w:sz w:val="18"/>
                <w:szCs w:val="18"/>
              </w:rPr>
            </w:pPr>
          </w:p>
        </w:tc>
        <w:tc>
          <w:tcPr>
            <w:tcW w:w="1418" w:type="dxa"/>
            <w:tcBorders>
              <w:top w:val="nil"/>
              <w:left w:val="nil"/>
              <w:bottom w:val="nil"/>
              <w:right w:val="nil"/>
            </w:tcBorders>
            <w:shd w:val="clear" w:color="auto" w:fill="auto"/>
            <w:noWrap/>
            <w:hideMark/>
          </w:tcPr>
          <w:p w14:paraId="581F2A0F" w14:textId="77777777" w:rsidR="00F129F7" w:rsidRPr="008253C4" w:rsidRDefault="00F129F7" w:rsidP="008253C4">
            <w:pPr>
              <w:rPr>
                <w:sz w:val="18"/>
                <w:szCs w:val="18"/>
              </w:rPr>
            </w:pPr>
          </w:p>
        </w:tc>
        <w:tc>
          <w:tcPr>
            <w:tcW w:w="283" w:type="dxa"/>
            <w:tcBorders>
              <w:top w:val="nil"/>
              <w:left w:val="nil"/>
              <w:bottom w:val="nil"/>
              <w:right w:val="nil"/>
            </w:tcBorders>
            <w:shd w:val="clear" w:color="auto" w:fill="auto"/>
            <w:noWrap/>
            <w:hideMark/>
          </w:tcPr>
          <w:p w14:paraId="3E9D65A1" w14:textId="77777777" w:rsidR="00F129F7" w:rsidRPr="008253C4" w:rsidRDefault="00F129F7" w:rsidP="008253C4">
            <w:pPr>
              <w:rPr>
                <w:sz w:val="18"/>
                <w:szCs w:val="18"/>
              </w:rPr>
            </w:pPr>
          </w:p>
        </w:tc>
        <w:tc>
          <w:tcPr>
            <w:tcW w:w="1418" w:type="dxa"/>
            <w:tcBorders>
              <w:top w:val="nil"/>
              <w:left w:val="nil"/>
              <w:bottom w:val="nil"/>
              <w:right w:val="nil"/>
            </w:tcBorders>
            <w:shd w:val="clear" w:color="auto" w:fill="auto"/>
            <w:noWrap/>
            <w:hideMark/>
          </w:tcPr>
          <w:p w14:paraId="3750A5B5" w14:textId="77777777" w:rsidR="00F129F7" w:rsidRPr="008253C4" w:rsidRDefault="00F129F7" w:rsidP="008253C4">
            <w:pPr>
              <w:rPr>
                <w:sz w:val="18"/>
                <w:szCs w:val="18"/>
              </w:rPr>
            </w:pPr>
          </w:p>
        </w:tc>
        <w:tc>
          <w:tcPr>
            <w:tcW w:w="1276" w:type="dxa"/>
            <w:tcBorders>
              <w:top w:val="nil"/>
              <w:left w:val="nil"/>
              <w:bottom w:val="nil"/>
              <w:right w:val="nil"/>
            </w:tcBorders>
            <w:shd w:val="clear" w:color="auto" w:fill="auto"/>
            <w:noWrap/>
            <w:hideMark/>
          </w:tcPr>
          <w:p w14:paraId="2BF1F0E3" w14:textId="77777777" w:rsidR="00F129F7" w:rsidRPr="008253C4" w:rsidRDefault="00F129F7" w:rsidP="008253C4">
            <w:pPr>
              <w:rPr>
                <w:sz w:val="18"/>
                <w:szCs w:val="18"/>
              </w:rPr>
            </w:pPr>
          </w:p>
        </w:tc>
        <w:tc>
          <w:tcPr>
            <w:tcW w:w="1275" w:type="dxa"/>
            <w:tcBorders>
              <w:top w:val="nil"/>
              <w:left w:val="nil"/>
              <w:bottom w:val="nil"/>
              <w:right w:val="nil"/>
            </w:tcBorders>
            <w:shd w:val="clear" w:color="auto" w:fill="auto"/>
            <w:noWrap/>
            <w:hideMark/>
          </w:tcPr>
          <w:p w14:paraId="7BB31006" w14:textId="77777777" w:rsidR="00F129F7" w:rsidRPr="008253C4" w:rsidRDefault="00F129F7" w:rsidP="008253C4">
            <w:pPr>
              <w:rPr>
                <w:sz w:val="18"/>
                <w:szCs w:val="18"/>
              </w:rPr>
            </w:pPr>
          </w:p>
        </w:tc>
      </w:tr>
      <w:tr w:rsidR="00F129F7" w:rsidRPr="00F129F7" w14:paraId="3BDC7409" w14:textId="77777777" w:rsidTr="009378CB">
        <w:trPr>
          <w:trHeight w:val="320"/>
        </w:trPr>
        <w:tc>
          <w:tcPr>
            <w:tcW w:w="281" w:type="dxa"/>
            <w:tcBorders>
              <w:top w:val="nil"/>
              <w:left w:val="nil"/>
              <w:bottom w:val="nil"/>
              <w:right w:val="nil"/>
            </w:tcBorders>
            <w:shd w:val="clear" w:color="auto" w:fill="auto"/>
            <w:noWrap/>
            <w:hideMark/>
          </w:tcPr>
          <w:p w14:paraId="417FE1AD"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620187A8"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6FBE21C1"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6C21CE44" w14:textId="77777777" w:rsidR="00F129F7" w:rsidRPr="008253C4" w:rsidRDefault="00F129F7" w:rsidP="008253C4">
            <w:pPr>
              <w:jc w:val="center"/>
              <w:rPr>
                <w:color w:val="000000"/>
                <w:sz w:val="18"/>
                <w:szCs w:val="18"/>
              </w:rPr>
            </w:pPr>
            <w:r w:rsidRPr="008253C4">
              <w:rPr>
                <w:color w:val="000000"/>
                <w:sz w:val="18"/>
                <w:szCs w:val="18"/>
              </w:rPr>
              <w:t>81.91 (13.60)</w:t>
            </w:r>
          </w:p>
        </w:tc>
        <w:tc>
          <w:tcPr>
            <w:tcW w:w="1418" w:type="dxa"/>
            <w:tcBorders>
              <w:top w:val="nil"/>
              <w:left w:val="nil"/>
              <w:bottom w:val="nil"/>
              <w:right w:val="nil"/>
            </w:tcBorders>
            <w:shd w:val="clear" w:color="auto" w:fill="auto"/>
            <w:noWrap/>
            <w:hideMark/>
          </w:tcPr>
          <w:p w14:paraId="67F2E8EF" w14:textId="77777777" w:rsidR="00F129F7" w:rsidRPr="008253C4" w:rsidRDefault="00F129F7" w:rsidP="008253C4">
            <w:pPr>
              <w:jc w:val="center"/>
              <w:rPr>
                <w:color w:val="000000"/>
                <w:sz w:val="18"/>
                <w:szCs w:val="18"/>
              </w:rPr>
            </w:pPr>
            <w:r w:rsidRPr="008253C4">
              <w:rPr>
                <w:color w:val="000000"/>
                <w:sz w:val="18"/>
                <w:szCs w:val="18"/>
              </w:rPr>
              <w:t>36.67 (10.04)</w:t>
            </w:r>
          </w:p>
        </w:tc>
        <w:tc>
          <w:tcPr>
            <w:tcW w:w="1417" w:type="dxa"/>
            <w:tcBorders>
              <w:top w:val="nil"/>
              <w:left w:val="nil"/>
              <w:bottom w:val="nil"/>
              <w:right w:val="nil"/>
            </w:tcBorders>
            <w:shd w:val="clear" w:color="auto" w:fill="auto"/>
            <w:noWrap/>
            <w:hideMark/>
          </w:tcPr>
          <w:p w14:paraId="6CDEF7C2" w14:textId="77777777" w:rsidR="00F129F7" w:rsidRPr="008253C4" w:rsidRDefault="00F129F7" w:rsidP="008253C4">
            <w:pPr>
              <w:jc w:val="center"/>
              <w:rPr>
                <w:color w:val="000000"/>
                <w:sz w:val="18"/>
                <w:szCs w:val="18"/>
              </w:rPr>
            </w:pPr>
            <w:r w:rsidRPr="008253C4">
              <w:rPr>
                <w:color w:val="000000"/>
                <w:sz w:val="18"/>
                <w:szCs w:val="18"/>
              </w:rPr>
              <w:t>72.86 (11.32)</w:t>
            </w:r>
          </w:p>
        </w:tc>
        <w:tc>
          <w:tcPr>
            <w:tcW w:w="1418" w:type="dxa"/>
            <w:tcBorders>
              <w:top w:val="nil"/>
              <w:left w:val="nil"/>
              <w:bottom w:val="nil"/>
              <w:right w:val="nil"/>
            </w:tcBorders>
            <w:shd w:val="clear" w:color="auto" w:fill="auto"/>
            <w:noWrap/>
            <w:hideMark/>
          </w:tcPr>
          <w:p w14:paraId="40D3ACA3" w14:textId="77777777" w:rsidR="00F129F7" w:rsidRPr="008253C4" w:rsidRDefault="00F129F7" w:rsidP="008253C4">
            <w:pPr>
              <w:jc w:val="center"/>
              <w:rPr>
                <w:color w:val="000000"/>
                <w:sz w:val="18"/>
                <w:szCs w:val="18"/>
              </w:rPr>
            </w:pPr>
            <w:r w:rsidRPr="008253C4">
              <w:rPr>
                <w:color w:val="000000"/>
                <w:sz w:val="18"/>
                <w:szCs w:val="18"/>
              </w:rPr>
              <w:t>36.83 (13.10)</w:t>
            </w:r>
          </w:p>
        </w:tc>
        <w:tc>
          <w:tcPr>
            <w:tcW w:w="283" w:type="dxa"/>
            <w:tcBorders>
              <w:top w:val="nil"/>
              <w:left w:val="nil"/>
              <w:bottom w:val="nil"/>
              <w:right w:val="nil"/>
            </w:tcBorders>
            <w:shd w:val="clear" w:color="auto" w:fill="auto"/>
            <w:noWrap/>
            <w:hideMark/>
          </w:tcPr>
          <w:p w14:paraId="1392B712"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7E85D672"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155) = 102.76,</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&lt; .001, </w:t>
            </w:r>
            <w:r w:rsidRPr="008253C4">
              <w:rPr>
                <w:b/>
                <w:bCs/>
                <w:i/>
                <w:iCs/>
                <w:color w:val="000000"/>
                <w:sz w:val="18"/>
                <w:szCs w:val="18"/>
              </w:rPr>
              <w:t>η2</w:t>
            </w:r>
            <w:r w:rsidRPr="008253C4">
              <w:rPr>
                <w:b/>
                <w:bCs/>
                <w:color w:val="000000"/>
                <w:sz w:val="18"/>
                <w:szCs w:val="18"/>
              </w:rPr>
              <w:t xml:space="preserve"> = 0.67</w:t>
            </w:r>
          </w:p>
        </w:tc>
        <w:tc>
          <w:tcPr>
            <w:tcW w:w="1276" w:type="dxa"/>
            <w:vMerge w:val="restart"/>
            <w:tcBorders>
              <w:top w:val="nil"/>
              <w:left w:val="nil"/>
              <w:bottom w:val="nil"/>
              <w:right w:val="nil"/>
            </w:tcBorders>
            <w:shd w:val="clear" w:color="auto" w:fill="auto"/>
            <w:hideMark/>
          </w:tcPr>
          <w:p w14:paraId="6F80DA5B"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155) = 1.26,</w:t>
            </w:r>
            <w:r w:rsidRPr="008253C4">
              <w:rPr>
                <w:color w:val="000000"/>
                <w:sz w:val="18"/>
                <w:szCs w:val="18"/>
              </w:rPr>
              <w:br/>
            </w:r>
            <w:r w:rsidRPr="008253C4">
              <w:rPr>
                <w:i/>
                <w:iCs/>
                <w:color w:val="000000"/>
                <w:sz w:val="18"/>
                <w:szCs w:val="18"/>
              </w:rPr>
              <w:t>p</w:t>
            </w:r>
            <w:r w:rsidRPr="008253C4">
              <w:rPr>
                <w:color w:val="000000"/>
                <w:sz w:val="18"/>
                <w:szCs w:val="18"/>
              </w:rPr>
              <w:t xml:space="preserve"> = .263, </w:t>
            </w:r>
            <w:r w:rsidRPr="008253C4">
              <w:rPr>
                <w:i/>
                <w:iCs/>
                <w:color w:val="000000"/>
                <w:sz w:val="18"/>
                <w:szCs w:val="18"/>
              </w:rPr>
              <w:t>η2</w:t>
            </w:r>
            <w:r w:rsidRPr="008253C4">
              <w:rPr>
                <w:color w:val="000000"/>
                <w:sz w:val="18"/>
                <w:szCs w:val="18"/>
              </w:rPr>
              <w:t xml:space="preserve"> = 0.01</w:t>
            </w:r>
          </w:p>
        </w:tc>
        <w:tc>
          <w:tcPr>
            <w:tcW w:w="1275" w:type="dxa"/>
            <w:vMerge w:val="restart"/>
            <w:tcBorders>
              <w:top w:val="nil"/>
              <w:left w:val="nil"/>
              <w:bottom w:val="nil"/>
              <w:right w:val="nil"/>
            </w:tcBorders>
            <w:shd w:val="clear" w:color="auto" w:fill="auto"/>
            <w:hideMark/>
          </w:tcPr>
          <w:p w14:paraId="3D45DA82"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155) = 76.89,</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&lt; .001, </w:t>
            </w:r>
            <w:r w:rsidRPr="008253C4">
              <w:rPr>
                <w:b/>
                <w:bCs/>
                <w:i/>
                <w:iCs/>
                <w:color w:val="000000"/>
                <w:sz w:val="18"/>
                <w:szCs w:val="18"/>
              </w:rPr>
              <w:t>η2</w:t>
            </w:r>
            <w:r w:rsidRPr="008253C4">
              <w:rPr>
                <w:b/>
                <w:bCs/>
                <w:color w:val="000000"/>
                <w:sz w:val="18"/>
                <w:szCs w:val="18"/>
              </w:rPr>
              <w:t xml:space="preserve"> = 0.60</w:t>
            </w:r>
          </w:p>
        </w:tc>
      </w:tr>
      <w:tr w:rsidR="00F129F7" w:rsidRPr="00F129F7" w14:paraId="2B64229C" w14:textId="77777777" w:rsidTr="009378CB">
        <w:trPr>
          <w:trHeight w:val="320"/>
        </w:trPr>
        <w:tc>
          <w:tcPr>
            <w:tcW w:w="281" w:type="dxa"/>
            <w:tcBorders>
              <w:top w:val="nil"/>
              <w:left w:val="nil"/>
              <w:bottom w:val="nil"/>
              <w:right w:val="nil"/>
            </w:tcBorders>
            <w:shd w:val="clear" w:color="auto" w:fill="auto"/>
            <w:noWrap/>
            <w:hideMark/>
          </w:tcPr>
          <w:p w14:paraId="135C49B3" w14:textId="77777777" w:rsidR="00F129F7" w:rsidRPr="008253C4" w:rsidRDefault="00F129F7" w:rsidP="008253C4">
            <w:pPr>
              <w:jc w:val="center"/>
              <w:rPr>
                <w:b/>
                <w:bCs/>
                <w:color w:val="000000"/>
                <w:sz w:val="18"/>
                <w:szCs w:val="18"/>
              </w:rPr>
            </w:pPr>
          </w:p>
        </w:tc>
        <w:tc>
          <w:tcPr>
            <w:tcW w:w="284" w:type="dxa"/>
            <w:tcBorders>
              <w:top w:val="nil"/>
              <w:left w:val="nil"/>
              <w:bottom w:val="nil"/>
              <w:right w:val="nil"/>
            </w:tcBorders>
            <w:shd w:val="clear" w:color="auto" w:fill="auto"/>
            <w:noWrap/>
            <w:hideMark/>
          </w:tcPr>
          <w:p w14:paraId="568415FE"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244C936E"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28C0BADB" w14:textId="77777777" w:rsidR="00F129F7" w:rsidRPr="008253C4" w:rsidRDefault="00F129F7" w:rsidP="008253C4">
            <w:pPr>
              <w:jc w:val="center"/>
              <w:rPr>
                <w:color w:val="000000"/>
                <w:sz w:val="18"/>
                <w:szCs w:val="18"/>
              </w:rPr>
            </w:pPr>
            <w:r w:rsidRPr="008253C4">
              <w:rPr>
                <w:color w:val="000000"/>
                <w:sz w:val="18"/>
                <w:szCs w:val="18"/>
              </w:rPr>
              <w:t>80.21 (13.80)</w:t>
            </w:r>
          </w:p>
        </w:tc>
        <w:tc>
          <w:tcPr>
            <w:tcW w:w="1418" w:type="dxa"/>
            <w:tcBorders>
              <w:top w:val="nil"/>
              <w:left w:val="nil"/>
              <w:bottom w:val="nil"/>
              <w:right w:val="nil"/>
            </w:tcBorders>
            <w:shd w:val="clear" w:color="auto" w:fill="auto"/>
            <w:noWrap/>
            <w:hideMark/>
          </w:tcPr>
          <w:p w14:paraId="04CD1983" w14:textId="77777777" w:rsidR="00F129F7" w:rsidRPr="008253C4" w:rsidRDefault="00F129F7" w:rsidP="008253C4">
            <w:pPr>
              <w:jc w:val="center"/>
              <w:rPr>
                <w:color w:val="000000"/>
                <w:sz w:val="18"/>
                <w:szCs w:val="18"/>
              </w:rPr>
            </w:pPr>
            <w:r w:rsidRPr="008253C4">
              <w:rPr>
                <w:color w:val="000000"/>
                <w:sz w:val="18"/>
                <w:szCs w:val="18"/>
              </w:rPr>
              <w:t>44.29 (9.99)</w:t>
            </w:r>
          </w:p>
        </w:tc>
        <w:tc>
          <w:tcPr>
            <w:tcW w:w="1417" w:type="dxa"/>
            <w:tcBorders>
              <w:top w:val="nil"/>
              <w:left w:val="nil"/>
              <w:bottom w:val="nil"/>
              <w:right w:val="nil"/>
            </w:tcBorders>
            <w:shd w:val="clear" w:color="auto" w:fill="auto"/>
            <w:noWrap/>
            <w:hideMark/>
          </w:tcPr>
          <w:p w14:paraId="4B5861AC" w14:textId="77777777" w:rsidR="00F129F7" w:rsidRPr="008253C4" w:rsidRDefault="00F129F7" w:rsidP="008253C4">
            <w:pPr>
              <w:jc w:val="center"/>
              <w:rPr>
                <w:color w:val="000000"/>
                <w:sz w:val="18"/>
                <w:szCs w:val="18"/>
              </w:rPr>
            </w:pPr>
            <w:r w:rsidRPr="008253C4">
              <w:rPr>
                <w:color w:val="000000"/>
                <w:sz w:val="18"/>
                <w:szCs w:val="18"/>
              </w:rPr>
              <w:t>39.64 (14.75)</w:t>
            </w:r>
          </w:p>
        </w:tc>
        <w:tc>
          <w:tcPr>
            <w:tcW w:w="1418" w:type="dxa"/>
            <w:tcBorders>
              <w:top w:val="nil"/>
              <w:left w:val="nil"/>
              <w:bottom w:val="nil"/>
              <w:right w:val="nil"/>
            </w:tcBorders>
            <w:shd w:val="clear" w:color="auto" w:fill="auto"/>
            <w:noWrap/>
            <w:hideMark/>
          </w:tcPr>
          <w:p w14:paraId="18A7EE56" w14:textId="77777777" w:rsidR="00F129F7" w:rsidRPr="008253C4" w:rsidRDefault="00F129F7" w:rsidP="008253C4">
            <w:pPr>
              <w:jc w:val="center"/>
              <w:rPr>
                <w:color w:val="000000"/>
                <w:sz w:val="18"/>
                <w:szCs w:val="18"/>
              </w:rPr>
            </w:pPr>
            <w:r w:rsidRPr="008253C4">
              <w:rPr>
                <w:color w:val="000000"/>
                <w:sz w:val="18"/>
                <w:szCs w:val="18"/>
              </w:rPr>
              <w:t>71.27 (11.57)</w:t>
            </w:r>
          </w:p>
        </w:tc>
        <w:tc>
          <w:tcPr>
            <w:tcW w:w="283" w:type="dxa"/>
            <w:tcBorders>
              <w:top w:val="nil"/>
              <w:left w:val="nil"/>
              <w:bottom w:val="nil"/>
              <w:right w:val="nil"/>
            </w:tcBorders>
            <w:shd w:val="clear" w:color="auto" w:fill="auto"/>
            <w:noWrap/>
            <w:hideMark/>
          </w:tcPr>
          <w:p w14:paraId="7D6F0D77"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28647F39"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32718440"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47EB5D39" w14:textId="77777777" w:rsidR="00F129F7" w:rsidRPr="008253C4" w:rsidRDefault="00F129F7" w:rsidP="008253C4">
            <w:pPr>
              <w:rPr>
                <w:b/>
                <w:bCs/>
                <w:color w:val="000000"/>
                <w:sz w:val="18"/>
                <w:szCs w:val="18"/>
              </w:rPr>
            </w:pPr>
          </w:p>
        </w:tc>
      </w:tr>
      <w:tr w:rsidR="00F129F7" w:rsidRPr="00F129F7" w14:paraId="03CD1A5E" w14:textId="77777777" w:rsidTr="009378CB">
        <w:trPr>
          <w:trHeight w:val="320"/>
        </w:trPr>
        <w:tc>
          <w:tcPr>
            <w:tcW w:w="281" w:type="dxa"/>
            <w:tcBorders>
              <w:top w:val="nil"/>
              <w:left w:val="nil"/>
              <w:bottom w:val="nil"/>
              <w:right w:val="nil"/>
            </w:tcBorders>
            <w:shd w:val="clear" w:color="auto" w:fill="auto"/>
            <w:noWrap/>
            <w:hideMark/>
          </w:tcPr>
          <w:p w14:paraId="3B90786A"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306847C3" w14:textId="77777777" w:rsidR="00F129F7" w:rsidRPr="008253C4" w:rsidRDefault="00F129F7" w:rsidP="008253C4">
            <w:pPr>
              <w:rPr>
                <w:color w:val="000000"/>
                <w:sz w:val="18"/>
                <w:szCs w:val="18"/>
              </w:rPr>
            </w:pPr>
            <w:r w:rsidRPr="008253C4">
              <w:rPr>
                <w:color w:val="000000"/>
                <w:sz w:val="18"/>
                <w:szCs w:val="18"/>
              </w:rPr>
              <w:t>Disease self-efficacy (SEMCD)</w:t>
            </w:r>
          </w:p>
        </w:tc>
        <w:tc>
          <w:tcPr>
            <w:tcW w:w="1418" w:type="dxa"/>
            <w:tcBorders>
              <w:top w:val="nil"/>
              <w:left w:val="nil"/>
              <w:bottom w:val="nil"/>
              <w:right w:val="nil"/>
            </w:tcBorders>
            <w:shd w:val="clear" w:color="auto" w:fill="auto"/>
            <w:noWrap/>
            <w:hideMark/>
          </w:tcPr>
          <w:p w14:paraId="2B95C1BB"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2B35FE1F"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5162C746"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5583A45E"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36457F1E"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232A7AFE"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2FBD14A0" w14:textId="77777777" w:rsidR="00F129F7" w:rsidRPr="008253C4" w:rsidRDefault="00F129F7" w:rsidP="008253C4">
            <w:pPr>
              <w:jc w:val="center"/>
              <w:rPr>
                <w:sz w:val="18"/>
                <w:szCs w:val="18"/>
              </w:rPr>
            </w:pPr>
          </w:p>
        </w:tc>
      </w:tr>
      <w:tr w:rsidR="00F129F7" w:rsidRPr="00F129F7" w14:paraId="5D74AF9D" w14:textId="77777777" w:rsidTr="009378CB">
        <w:trPr>
          <w:trHeight w:val="320"/>
        </w:trPr>
        <w:tc>
          <w:tcPr>
            <w:tcW w:w="281" w:type="dxa"/>
            <w:tcBorders>
              <w:top w:val="nil"/>
              <w:left w:val="nil"/>
              <w:bottom w:val="nil"/>
              <w:right w:val="nil"/>
            </w:tcBorders>
            <w:shd w:val="clear" w:color="auto" w:fill="auto"/>
            <w:noWrap/>
            <w:hideMark/>
          </w:tcPr>
          <w:p w14:paraId="6E792C43"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39A3F54F"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6206B1FC"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35E70C08" w14:textId="77777777" w:rsidR="00F129F7" w:rsidRPr="008253C4" w:rsidRDefault="00F129F7" w:rsidP="008253C4">
            <w:pPr>
              <w:jc w:val="center"/>
              <w:rPr>
                <w:color w:val="000000"/>
                <w:sz w:val="18"/>
                <w:szCs w:val="18"/>
              </w:rPr>
            </w:pPr>
            <w:r w:rsidRPr="008253C4">
              <w:rPr>
                <w:color w:val="000000"/>
                <w:sz w:val="18"/>
                <w:szCs w:val="18"/>
              </w:rPr>
              <w:t>6.39 (1.56)</w:t>
            </w:r>
          </w:p>
        </w:tc>
        <w:tc>
          <w:tcPr>
            <w:tcW w:w="1418" w:type="dxa"/>
            <w:tcBorders>
              <w:top w:val="nil"/>
              <w:left w:val="nil"/>
              <w:bottom w:val="nil"/>
              <w:right w:val="nil"/>
            </w:tcBorders>
            <w:shd w:val="clear" w:color="auto" w:fill="auto"/>
            <w:noWrap/>
            <w:hideMark/>
          </w:tcPr>
          <w:p w14:paraId="7BC54F91" w14:textId="77777777" w:rsidR="00F129F7" w:rsidRPr="008253C4" w:rsidRDefault="00F129F7" w:rsidP="008253C4">
            <w:pPr>
              <w:jc w:val="center"/>
              <w:rPr>
                <w:color w:val="000000"/>
                <w:sz w:val="18"/>
                <w:szCs w:val="18"/>
              </w:rPr>
            </w:pPr>
            <w:r w:rsidRPr="008253C4">
              <w:rPr>
                <w:color w:val="000000"/>
                <w:sz w:val="18"/>
                <w:szCs w:val="18"/>
              </w:rPr>
              <w:t>4.26 (1.86)</w:t>
            </w:r>
          </w:p>
        </w:tc>
        <w:tc>
          <w:tcPr>
            <w:tcW w:w="1417" w:type="dxa"/>
            <w:tcBorders>
              <w:top w:val="nil"/>
              <w:left w:val="nil"/>
              <w:bottom w:val="nil"/>
              <w:right w:val="nil"/>
            </w:tcBorders>
            <w:shd w:val="clear" w:color="auto" w:fill="auto"/>
            <w:noWrap/>
            <w:hideMark/>
          </w:tcPr>
          <w:p w14:paraId="5B8A6483" w14:textId="77777777" w:rsidR="00F129F7" w:rsidRPr="008253C4" w:rsidRDefault="00F129F7" w:rsidP="008253C4">
            <w:pPr>
              <w:jc w:val="center"/>
              <w:rPr>
                <w:color w:val="000000"/>
                <w:sz w:val="18"/>
                <w:szCs w:val="18"/>
              </w:rPr>
            </w:pPr>
            <w:r w:rsidRPr="008253C4">
              <w:rPr>
                <w:color w:val="000000"/>
                <w:sz w:val="18"/>
                <w:szCs w:val="18"/>
              </w:rPr>
              <w:t>5.70 (1.82)</w:t>
            </w:r>
          </w:p>
        </w:tc>
        <w:tc>
          <w:tcPr>
            <w:tcW w:w="1418" w:type="dxa"/>
            <w:tcBorders>
              <w:top w:val="nil"/>
              <w:left w:val="nil"/>
              <w:bottom w:val="nil"/>
              <w:right w:val="nil"/>
            </w:tcBorders>
            <w:shd w:val="clear" w:color="auto" w:fill="auto"/>
            <w:noWrap/>
            <w:hideMark/>
          </w:tcPr>
          <w:p w14:paraId="673ED2B9" w14:textId="77777777" w:rsidR="00F129F7" w:rsidRPr="008253C4" w:rsidRDefault="00F129F7" w:rsidP="008253C4">
            <w:pPr>
              <w:jc w:val="center"/>
              <w:rPr>
                <w:color w:val="000000"/>
                <w:sz w:val="18"/>
                <w:szCs w:val="18"/>
              </w:rPr>
            </w:pPr>
            <w:r w:rsidRPr="008253C4">
              <w:rPr>
                <w:color w:val="000000"/>
                <w:sz w:val="18"/>
                <w:szCs w:val="18"/>
              </w:rPr>
              <w:t>5.66 (1.80)</w:t>
            </w:r>
          </w:p>
        </w:tc>
        <w:tc>
          <w:tcPr>
            <w:tcW w:w="283" w:type="dxa"/>
            <w:tcBorders>
              <w:top w:val="nil"/>
              <w:left w:val="nil"/>
              <w:bottom w:val="nil"/>
              <w:right w:val="nil"/>
            </w:tcBorders>
            <w:shd w:val="clear" w:color="auto" w:fill="auto"/>
            <w:noWrap/>
            <w:hideMark/>
          </w:tcPr>
          <w:p w14:paraId="7026FAF1"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2275D36F"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9.85,</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&lt; .001, </w:t>
            </w:r>
            <w:r w:rsidRPr="008253C4">
              <w:rPr>
                <w:b/>
                <w:bCs/>
                <w:i/>
                <w:iCs/>
                <w:color w:val="000000"/>
                <w:sz w:val="18"/>
                <w:szCs w:val="18"/>
              </w:rPr>
              <w:t>η2</w:t>
            </w:r>
            <w:r w:rsidRPr="008253C4">
              <w:rPr>
                <w:b/>
                <w:bCs/>
                <w:color w:val="000000"/>
                <w:sz w:val="18"/>
                <w:szCs w:val="18"/>
              </w:rPr>
              <w:t xml:space="preserve"> = 0.16</w:t>
            </w:r>
          </w:p>
        </w:tc>
        <w:tc>
          <w:tcPr>
            <w:tcW w:w="1276" w:type="dxa"/>
            <w:vMerge w:val="restart"/>
            <w:tcBorders>
              <w:top w:val="nil"/>
              <w:left w:val="nil"/>
              <w:bottom w:val="nil"/>
              <w:right w:val="nil"/>
            </w:tcBorders>
            <w:shd w:val="clear" w:color="auto" w:fill="auto"/>
            <w:hideMark/>
          </w:tcPr>
          <w:p w14:paraId="1D3D01BF"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154) = 2.91,</w:t>
            </w:r>
            <w:r w:rsidRPr="008253C4">
              <w:rPr>
                <w:color w:val="000000"/>
                <w:sz w:val="18"/>
                <w:szCs w:val="18"/>
              </w:rPr>
              <w:br/>
            </w:r>
            <w:r w:rsidRPr="008253C4">
              <w:rPr>
                <w:i/>
                <w:iCs/>
                <w:color w:val="000000"/>
                <w:sz w:val="18"/>
                <w:szCs w:val="18"/>
              </w:rPr>
              <w:t>p</w:t>
            </w:r>
            <w:r w:rsidRPr="008253C4">
              <w:rPr>
                <w:color w:val="000000"/>
                <w:sz w:val="18"/>
                <w:szCs w:val="18"/>
              </w:rPr>
              <w:t xml:space="preserve"> = .090, </w:t>
            </w:r>
            <w:r w:rsidRPr="008253C4">
              <w:rPr>
                <w:i/>
                <w:iCs/>
                <w:color w:val="000000"/>
                <w:sz w:val="18"/>
                <w:szCs w:val="18"/>
              </w:rPr>
              <w:t>η2</w:t>
            </w:r>
            <w:r w:rsidRPr="008253C4">
              <w:rPr>
                <w:color w:val="000000"/>
                <w:sz w:val="18"/>
                <w:szCs w:val="18"/>
              </w:rPr>
              <w:t xml:space="preserve"> = 0.02</w:t>
            </w:r>
          </w:p>
        </w:tc>
        <w:tc>
          <w:tcPr>
            <w:tcW w:w="1275" w:type="dxa"/>
            <w:vMerge w:val="restart"/>
            <w:tcBorders>
              <w:top w:val="nil"/>
              <w:left w:val="nil"/>
              <w:bottom w:val="nil"/>
              <w:right w:val="nil"/>
            </w:tcBorders>
            <w:shd w:val="clear" w:color="auto" w:fill="auto"/>
            <w:hideMark/>
          </w:tcPr>
          <w:p w14:paraId="4878CD9C"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3.93,</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.010, </w:t>
            </w:r>
            <w:r w:rsidRPr="008253C4">
              <w:rPr>
                <w:b/>
                <w:bCs/>
                <w:i/>
                <w:iCs/>
                <w:color w:val="000000"/>
                <w:sz w:val="18"/>
                <w:szCs w:val="18"/>
              </w:rPr>
              <w:t>η2</w:t>
            </w:r>
            <w:r w:rsidRPr="008253C4">
              <w:rPr>
                <w:b/>
                <w:bCs/>
                <w:color w:val="000000"/>
                <w:sz w:val="18"/>
                <w:szCs w:val="18"/>
              </w:rPr>
              <w:t xml:space="preserve"> = 0.07</w:t>
            </w:r>
          </w:p>
        </w:tc>
      </w:tr>
      <w:tr w:rsidR="00F129F7" w:rsidRPr="00F129F7" w14:paraId="1B69BDD3" w14:textId="77777777" w:rsidTr="009378CB">
        <w:trPr>
          <w:trHeight w:val="320"/>
        </w:trPr>
        <w:tc>
          <w:tcPr>
            <w:tcW w:w="281" w:type="dxa"/>
            <w:tcBorders>
              <w:top w:val="nil"/>
              <w:left w:val="nil"/>
              <w:bottom w:val="nil"/>
              <w:right w:val="nil"/>
            </w:tcBorders>
            <w:shd w:val="clear" w:color="auto" w:fill="auto"/>
            <w:noWrap/>
            <w:hideMark/>
          </w:tcPr>
          <w:p w14:paraId="608200FC" w14:textId="77777777" w:rsidR="00F129F7" w:rsidRPr="008253C4" w:rsidRDefault="00F129F7" w:rsidP="008253C4">
            <w:pPr>
              <w:jc w:val="center"/>
              <w:rPr>
                <w:b/>
                <w:bCs/>
                <w:color w:val="000000"/>
                <w:sz w:val="18"/>
                <w:szCs w:val="18"/>
              </w:rPr>
            </w:pPr>
          </w:p>
        </w:tc>
        <w:tc>
          <w:tcPr>
            <w:tcW w:w="284" w:type="dxa"/>
            <w:tcBorders>
              <w:top w:val="nil"/>
              <w:left w:val="nil"/>
              <w:bottom w:val="nil"/>
              <w:right w:val="nil"/>
            </w:tcBorders>
            <w:shd w:val="clear" w:color="auto" w:fill="auto"/>
            <w:noWrap/>
            <w:hideMark/>
          </w:tcPr>
          <w:p w14:paraId="766CB369"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432BCA9D"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0208D277" w14:textId="77777777" w:rsidR="00F129F7" w:rsidRPr="008253C4" w:rsidRDefault="00F129F7" w:rsidP="008253C4">
            <w:pPr>
              <w:jc w:val="center"/>
              <w:rPr>
                <w:color w:val="000000"/>
                <w:sz w:val="18"/>
                <w:szCs w:val="18"/>
              </w:rPr>
            </w:pPr>
            <w:r w:rsidRPr="008253C4">
              <w:rPr>
                <w:color w:val="000000"/>
                <w:sz w:val="18"/>
                <w:szCs w:val="18"/>
              </w:rPr>
              <w:t>6.60 (1.72)</w:t>
            </w:r>
          </w:p>
        </w:tc>
        <w:tc>
          <w:tcPr>
            <w:tcW w:w="1418" w:type="dxa"/>
            <w:tcBorders>
              <w:top w:val="nil"/>
              <w:left w:val="nil"/>
              <w:bottom w:val="nil"/>
              <w:right w:val="nil"/>
            </w:tcBorders>
            <w:shd w:val="clear" w:color="auto" w:fill="auto"/>
            <w:noWrap/>
            <w:hideMark/>
          </w:tcPr>
          <w:p w14:paraId="277EC226" w14:textId="77777777" w:rsidR="00F129F7" w:rsidRPr="008253C4" w:rsidRDefault="00F129F7" w:rsidP="008253C4">
            <w:pPr>
              <w:jc w:val="center"/>
              <w:rPr>
                <w:color w:val="000000"/>
                <w:sz w:val="18"/>
                <w:szCs w:val="18"/>
              </w:rPr>
            </w:pPr>
            <w:r w:rsidRPr="008253C4">
              <w:rPr>
                <w:color w:val="000000"/>
                <w:sz w:val="18"/>
                <w:szCs w:val="18"/>
              </w:rPr>
              <w:t>4.95 (1.39)</w:t>
            </w:r>
          </w:p>
        </w:tc>
        <w:tc>
          <w:tcPr>
            <w:tcW w:w="1417" w:type="dxa"/>
            <w:tcBorders>
              <w:top w:val="nil"/>
              <w:left w:val="nil"/>
              <w:bottom w:val="nil"/>
              <w:right w:val="nil"/>
            </w:tcBorders>
            <w:shd w:val="clear" w:color="auto" w:fill="auto"/>
            <w:noWrap/>
            <w:hideMark/>
          </w:tcPr>
          <w:p w14:paraId="44EAF802" w14:textId="77777777" w:rsidR="00F129F7" w:rsidRPr="008253C4" w:rsidRDefault="00F129F7" w:rsidP="008253C4">
            <w:pPr>
              <w:jc w:val="center"/>
              <w:rPr>
                <w:color w:val="000000"/>
                <w:sz w:val="18"/>
                <w:szCs w:val="18"/>
              </w:rPr>
            </w:pPr>
            <w:r w:rsidRPr="008253C4">
              <w:rPr>
                <w:color w:val="000000"/>
                <w:sz w:val="18"/>
                <w:szCs w:val="18"/>
              </w:rPr>
              <w:t>5.07 (1.70)</w:t>
            </w:r>
          </w:p>
        </w:tc>
        <w:tc>
          <w:tcPr>
            <w:tcW w:w="1418" w:type="dxa"/>
            <w:tcBorders>
              <w:top w:val="nil"/>
              <w:left w:val="nil"/>
              <w:bottom w:val="nil"/>
              <w:right w:val="nil"/>
            </w:tcBorders>
            <w:shd w:val="clear" w:color="auto" w:fill="auto"/>
            <w:noWrap/>
            <w:hideMark/>
          </w:tcPr>
          <w:p w14:paraId="05394B28" w14:textId="77777777" w:rsidR="00F129F7" w:rsidRPr="008253C4" w:rsidRDefault="00F129F7" w:rsidP="008253C4">
            <w:pPr>
              <w:jc w:val="center"/>
              <w:rPr>
                <w:color w:val="000000"/>
                <w:sz w:val="18"/>
                <w:szCs w:val="18"/>
              </w:rPr>
            </w:pPr>
            <w:r w:rsidRPr="008253C4">
              <w:rPr>
                <w:color w:val="000000"/>
                <w:sz w:val="18"/>
                <w:szCs w:val="18"/>
              </w:rPr>
              <w:t>6.55 (1.31)</w:t>
            </w:r>
          </w:p>
        </w:tc>
        <w:tc>
          <w:tcPr>
            <w:tcW w:w="283" w:type="dxa"/>
            <w:tcBorders>
              <w:top w:val="nil"/>
              <w:left w:val="nil"/>
              <w:bottom w:val="nil"/>
              <w:right w:val="nil"/>
            </w:tcBorders>
            <w:shd w:val="clear" w:color="auto" w:fill="auto"/>
            <w:noWrap/>
            <w:hideMark/>
          </w:tcPr>
          <w:p w14:paraId="0204FCA0"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145C375B"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30C45E80"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786A2711" w14:textId="77777777" w:rsidR="00F129F7" w:rsidRPr="008253C4" w:rsidRDefault="00F129F7" w:rsidP="008253C4">
            <w:pPr>
              <w:rPr>
                <w:b/>
                <w:bCs/>
                <w:color w:val="000000"/>
                <w:sz w:val="18"/>
                <w:szCs w:val="18"/>
              </w:rPr>
            </w:pPr>
          </w:p>
        </w:tc>
      </w:tr>
      <w:tr w:rsidR="00F129F7" w:rsidRPr="00F129F7" w14:paraId="73F7D916" w14:textId="77777777" w:rsidTr="009378CB">
        <w:trPr>
          <w:trHeight w:val="320"/>
        </w:trPr>
        <w:tc>
          <w:tcPr>
            <w:tcW w:w="281" w:type="dxa"/>
            <w:tcBorders>
              <w:top w:val="nil"/>
              <w:left w:val="nil"/>
              <w:bottom w:val="nil"/>
              <w:right w:val="nil"/>
            </w:tcBorders>
            <w:shd w:val="clear" w:color="auto" w:fill="auto"/>
            <w:noWrap/>
            <w:hideMark/>
          </w:tcPr>
          <w:p w14:paraId="42A40ADD"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2A419781" w14:textId="77777777" w:rsidR="00F129F7" w:rsidRPr="008253C4" w:rsidRDefault="00F129F7" w:rsidP="008253C4">
            <w:pPr>
              <w:rPr>
                <w:color w:val="000000"/>
                <w:sz w:val="18"/>
                <w:szCs w:val="18"/>
              </w:rPr>
            </w:pPr>
            <w:r w:rsidRPr="008253C4">
              <w:rPr>
                <w:color w:val="000000"/>
                <w:sz w:val="18"/>
                <w:szCs w:val="18"/>
              </w:rPr>
              <w:t>Treatment self-efficacy (SEATR)</w:t>
            </w:r>
          </w:p>
        </w:tc>
        <w:tc>
          <w:tcPr>
            <w:tcW w:w="1418" w:type="dxa"/>
            <w:tcBorders>
              <w:top w:val="nil"/>
              <w:left w:val="nil"/>
              <w:bottom w:val="nil"/>
              <w:right w:val="nil"/>
            </w:tcBorders>
            <w:shd w:val="clear" w:color="auto" w:fill="auto"/>
            <w:noWrap/>
            <w:hideMark/>
          </w:tcPr>
          <w:p w14:paraId="315DF3D3"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7C5FB5D2"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7ECF4720"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70E890FB"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250EDEDA"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468819CD"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6E52A7AF" w14:textId="77777777" w:rsidR="00F129F7" w:rsidRPr="008253C4" w:rsidRDefault="00F129F7" w:rsidP="008253C4">
            <w:pPr>
              <w:jc w:val="center"/>
              <w:rPr>
                <w:sz w:val="18"/>
                <w:szCs w:val="18"/>
              </w:rPr>
            </w:pPr>
          </w:p>
        </w:tc>
      </w:tr>
      <w:tr w:rsidR="00F129F7" w:rsidRPr="00F129F7" w14:paraId="6F139DBF" w14:textId="77777777" w:rsidTr="009378CB">
        <w:trPr>
          <w:trHeight w:val="320"/>
        </w:trPr>
        <w:tc>
          <w:tcPr>
            <w:tcW w:w="281" w:type="dxa"/>
            <w:tcBorders>
              <w:top w:val="nil"/>
              <w:left w:val="nil"/>
              <w:bottom w:val="nil"/>
              <w:right w:val="nil"/>
            </w:tcBorders>
            <w:shd w:val="clear" w:color="auto" w:fill="auto"/>
            <w:noWrap/>
            <w:hideMark/>
          </w:tcPr>
          <w:p w14:paraId="06500C38"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47F1711F"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148D959F"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16B1A2B2" w14:textId="77777777" w:rsidR="00F129F7" w:rsidRPr="008253C4" w:rsidRDefault="00F129F7" w:rsidP="008253C4">
            <w:pPr>
              <w:jc w:val="center"/>
              <w:rPr>
                <w:color w:val="000000"/>
                <w:sz w:val="18"/>
                <w:szCs w:val="18"/>
              </w:rPr>
            </w:pPr>
            <w:r w:rsidRPr="008253C4">
              <w:rPr>
                <w:color w:val="000000"/>
                <w:sz w:val="18"/>
                <w:szCs w:val="18"/>
              </w:rPr>
              <w:t>7.27 (1.36)</w:t>
            </w:r>
          </w:p>
        </w:tc>
        <w:tc>
          <w:tcPr>
            <w:tcW w:w="1418" w:type="dxa"/>
            <w:tcBorders>
              <w:top w:val="nil"/>
              <w:left w:val="nil"/>
              <w:bottom w:val="nil"/>
              <w:right w:val="nil"/>
            </w:tcBorders>
            <w:shd w:val="clear" w:color="auto" w:fill="auto"/>
            <w:noWrap/>
            <w:hideMark/>
          </w:tcPr>
          <w:p w14:paraId="37BB4767" w14:textId="77777777" w:rsidR="00F129F7" w:rsidRPr="008253C4" w:rsidRDefault="00F129F7" w:rsidP="008253C4">
            <w:pPr>
              <w:jc w:val="center"/>
              <w:rPr>
                <w:color w:val="000000"/>
                <w:sz w:val="18"/>
                <w:szCs w:val="18"/>
              </w:rPr>
            </w:pPr>
            <w:r w:rsidRPr="008253C4">
              <w:rPr>
                <w:color w:val="000000"/>
                <w:sz w:val="18"/>
                <w:szCs w:val="18"/>
              </w:rPr>
              <w:t>5.37 (1.55)</w:t>
            </w:r>
          </w:p>
        </w:tc>
        <w:tc>
          <w:tcPr>
            <w:tcW w:w="1417" w:type="dxa"/>
            <w:tcBorders>
              <w:top w:val="nil"/>
              <w:left w:val="nil"/>
              <w:bottom w:val="nil"/>
              <w:right w:val="nil"/>
            </w:tcBorders>
            <w:shd w:val="clear" w:color="auto" w:fill="auto"/>
            <w:noWrap/>
            <w:hideMark/>
          </w:tcPr>
          <w:p w14:paraId="26AF11DC" w14:textId="77777777" w:rsidR="00F129F7" w:rsidRPr="008253C4" w:rsidRDefault="00F129F7" w:rsidP="008253C4">
            <w:pPr>
              <w:jc w:val="center"/>
              <w:rPr>
                <w:color w:val="000000"/>
                <w:sz w:val="18"/>
                <w:szCs w:val="18"/>
              </w:rPr>
            </w:pPr>
            <w:r w:rsidRPr="008253C4">
              <w:rPr>
                <w:color w:val="000000"/>
                <w:sz w:val="18"/>
                <w:szCs w:val="18"/>
              </w:rPr>
              <w:t>6.90 (1.71)</w:t>
            </w:r>
          </w:p>
        </w:tc>
        <w:tc>
          <w:tcPr>
            <w:tcW w:w="1418" w:type="dxa"/>
            <w:tcBorders>
              <w:top w:val="nil"/>
              <w:left w:val="nil"/>
              <w:bottom w:val="nil"/>
              <w:right w:val="nil"/>
            </w:tcBorders>
            <w:shd w:val="clear" w:color="auto" w:fill="auto"/>
            <w:noWrap/>
            <w:hideMark/>
          </w:tcPr>
          <w:p w14:paraId="254CFDCA" w14:textId="77777777" w:rsidR="00F129F7" w:rsidRPr="008253C4" w:rsidRDefault="00F129F7" w:rsidP="008253C4">
            <w:pPr>
              <w:jc w:val="center"/>
              <w:rPr>
                <w:color w:val="000000"/>
                <w:sz w:val="18"/>
                <w:szCs w:val="18"/>
              </w:rPr>
            </w:pPr>
            <w:r w:rsidRPr="008253C4">
              <w:rPr>
                <w:color w:val="000000"/>
                <w:sz w:val="18"/>
                <w:szCs w:val="18"/>
              </w:rPr>
              <w:t>6.32 (1.82)</w:t>
            </w:r>
          </w:p>
        </w:tc>
        <w:tc>
          <w:tcPr>
            <w:tcW w:w="283" w:type="dxa"/>
            <w:tcBorders>
              <w:top w:val="nil"/>
              <w:left w:val="nil"/>
              <w:bottom w:val="nil"/>
              <w:right w:val="nil"/>
            </w:tcBorders>
            <w:shd w:val="clear" w:color="auto" w:fill="auto"/>
            <w:noWrap/>
            <w:hideMark/>
          </w:tcPr>
          <w:p w14:paraId="15B0F232"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40482A67"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7.46,</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&lt; .001, </w:t>
            </w:r>
            <w:r w:rsidRPr="008253C4">
              <w:rPr>
                <w:b/>
                <w:bCs/>
                <w:i/>
                <w:iCs/>
                <w:color w:val="000000"/>
                <w:sz w:val="18"/>
                <w:szCs w:val="18"/>
              </w:rPr>
              <w:t>η2</w:t>
            </w:r>
            <w:r w:rsidRPr="008253C4">
              <w:rPr>
                <w:b/>
                <w:bCs/>
                <w:color w:val="000000"/>
                <w:sz w:val="18"/>
                <w:szCs w:val="18"/>
              </w:rPr>
              <w:t xml:space="preserve"> = 0.13</w:t>
            </w:r>
          </w:p>
        </w:tc>
        <w:tc>
          <w:tcPr>
            <w:tcW w:w="1276" w:type="dxa"/>
            <w:vMerge w:val="restart"/>
            <w:tcBorders>
              <w:top w:val="nil"/>
              <w:left w:val="nil"/>
              <w:bottom w:val="nil"/>
              <w:right w:val="nil"/>
            </w:tcBorders>
            <w:shd w:val="clear" w:color="auto" w:fill="auto"/>
            <w:hideMark/>
          </w:tcPr>
          <w:p w14:paraId="2B8F7AC6"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154) = 1.68,</w:t>
            </w:r>
            <w:r w:rsidRPr="008253C4">
              <w:rPr>
                <w:color w:val="000000"/>
                <w:sz w:val="18"/>
                <w:szCs w:val="18"/>
              </w:rPr>
              <w:br/>
            </w:r>
            <w:r w:rsidRPr="008253C4">
              <w:rPr>
                <w:i/>
                <w:iCs/>
                <w:color w:val="000000"/>
                <w:sz w:val="18"/>
                <w:szCs w:val="18"/>
              </w:rPr>
              <w:t>p</w:t>
            </w:r>
            <w:r w:rsidRPr="008253C4">
              <w:rPr>
                <w:color w:val="000000"/>
                <w:sz w:val="18"/>
                <w:szCs w:val="18"/>
              </w:rPr>
              <w:t xml:space="preserve"> = .197, </w:t>
            </w:r>
            <w:r w:rsidRPr="008253C4">
              <w:rPr>
                <w:i/>
                <w:iCs/>
                <w:color w:val="000000"/>
                <w:sz w:val="18"/>
                <w:szCs w:val="18"/>
              </w:rPr>
              <w:t>η2</w:t>
            </w:r>
            <w:r w:rsidRPr="008253C4">
              <w:rPr>
                <w:color w:val="000000"/>
                <w:sz w:val="18"/>
                <w:szCs w:val="18"/>
              </w:rPr>
              <w:t xml:space="preserve"> = 0.02</w:t>
            </w:r>
          </w:p>
        </w:tc>
        <w:tc>
          <w:tcPr>
            <w:tcW w:w="1275" w:type="dxa"/>
            <w:vMerge w:val="restart"/>
            <w:tcBorders>
              <w:top w:val="nil"/>
              <w:left w:val="nil"/>
              <w:bottom w:val="nil"/>
              <w:right w:val="nil"/>
            </w:tcBorders>
            <w:shd w:val="clear" w:color="auto" w:fill="auto"/>
            <w:hideMark/>
          </w:tcPr>
          <w:p w14:paraId="3A65D11A"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154) = 2.64,</w:t>
            </w:r>
            <w:r w:rsidRPr="008253C4">
              <w:rPr>
                <w:color w:val="000000"/>
                <w:sz w:val="18"/>
                <w:szCs w:val="18"/>
              </w:rPr>
              <w:br/>
            </w:r>
            <w:r w:rsidRPr="008253C4">
              <w:rPr>
                <w:i/>
                <w:iCs/>
                <w:color w:val="000000"/>
                <w:sz w:val="18"/>
                <w:szCs w:val="18"/>
              </w:rPr>
              <w:t>p</w:t>
            </w:r>
            <w:r w:rsidRPr="008253C4">
              <w:rPr>
                <w:color w:val="000000"/>
                <w:sz w:val="18"/>
                <w:szCs w:val="18"/>
              </w:rPr>
              <w:t xml:space="preserve"> = .051, </w:t>
            </w:r>
            <w:r w:rsidRPr="008253C4">
              <w:rPr>
                <w:i/>
                <w:iCs/>
                <w:color w:val="000000"/>
                <w:sz w:val="18"/>
                <w:szCs w:val="18"/>
              </w:rPr>
              <w:t>η2</w:t>
            </w:r>
            <w:r w:rsidRPr="008253C4">
              <w:rPr>
                <w:color w:val="000000"/>
                <w:sz w:val="18"/>
                <w:szCs w:val="18"/>
              </w:rPr>
              <w:t xml:space="preserve"> = 0.05</w:t>
            </w:r>
          </w:p>
        </w:tc>
      </w:tr>
      <w:tr w:rsidR="00F129F7" w:rsidRPr="00F129F7" w14:paraId="789A9DE9" w14:textId="77777777" w:rsidTr="009378CB">
        <w:trPr>
          <w:trHeight w:val="320"/>
        </w:trPr>
        <w:tc>
          <w:tcPr>
            <w:tcW w:w="281" w:type="dxa"/>
            <w:tcBorders>
              <w:top w:val="nil"/>
              <w:left w:val="nil"/>
              <w:bottom w:val="nil"/>
              <w:right w:val="nil"/>
            </w:tcBorders>
            <w:shd w:val="clear" w:color="auto" w:fill="auto"/>
            <w:noWrap/>
            <w:hideMark/>
          </w:tcPr>
          <w:p w14:paraId="5E979747"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78937866"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4C7ED9B0"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39721FDC" w14:textId="77777777" w:rsidR="00F129F7" w:rsidRPr="008253C4" w:rsidRDefault="00F129F7" w:rsidP="008253C4">
            <w:pPr>
              <w:jc w:val="center"/>
              <w:rPr>
                <w:color w:val="000000"/>
                <w:sz w:val="18"/>
                <w:szCs w:val="18"/>
              </w:rPr>
            </w:pPr>
            <w:r w:rsidRPr="008253C4">
              <w:rPr>
                <w:color w:val="000000"/>
                <w:sz w:val="18"/>
                <w:szCs w:val="18"/>
              </w:rPr>
              <w:t>7.12 (1.55)</w:t>
            </w:r>
          </w:p>
        </w:tc>
        <w:tc>
          <w:tcPr>
            <w:tcW w:w="1418" w:type="dxa"/>
            <w:tcBorders>
              <w:top w:val="nil"/>
              <w:left w:val="nil"/>
              <w:bottom w:val="nil"/>
              <w:right w:val="nil"/>
            </w:tcBorders>
            <w:shd w:val="clear" w:color="auto" w:fill="auto"/>
            <w:noWrap/>
            <w:hideMark/>
          </w:tcPr>
          <w:p w14:paraId="6A3D1C7A" w14:textId="77777777" w:rsidR="00F129F7" w:rsidRPr="008253C4" w:rsidRDefault="00F129F7" w:rsidP="008253C4">
            <w:pPr>
              <w:jc w:val="center"/>
              <w:rPr>
                <w:color w:val="000000"/>
                <w:sz w:val="18"/>
                <w:szCs w:val="18"/>
              </w:rPr>
            </w:pPr>
            <w:r w:rsidRPr="008253C4">
              <w:rPr>
                <w:color w:val="000000"/>
                <w:sz w:val="18"/>
                <w:szCs w:val="18"/>
              </w:rPr>
              <w:t>5.68 (1.15)</w:t>
            </w:r>
          </w:p>
        </w:tc>
        <w:tc>
          <w:tcPr>
            <w:tcW w:w="1417" w:type="dxa"/>
            <w:tcBorders>
              <w:top w:val="nil"/>
              <w:left w:val="nil"/>
              <w:bottom w:val="nil"/>
              <w:right w:val="nil"/>
            </w:tcBorders>
            <w:shd w:val="clear" w:color="auto" w:fill="auto"/>
            <w:noWrap/>
            <w:hideMark/>
          </w:tcPr>
          <w:p w14:paraId="457A6131" w14:textId="77777777" w:rsidR="00F129F7" w:rsidRPr="008253C4" w:rsidRDefault="00F129F7" w:rsidP="008253C4">
            <w:pPr>
              <w:jc w:val="center"/>
              <w:rPr>
                <w:color w:val="000000"/>
                <w:sz w:val="18"/>
                <w:szCs w:val="18"/>
              </w:rPr>
            </w:pPr>
            <w:r w:rsidRPr="008253C4">
              <w:rPr>
                <w:color w:val="000000"/>
                <w:sz w:val="18"/>
                <w:szCs w:val="18"/>
              </w:rPr>
              <w:t>6.70 (1.68)</w:t>
            </w:r>
          </w:p>
        </w:tc>
        <w:tc>
          <w:tcPr>
            <w:tcW w:w="1418" w:type="dxa"/>
            <w:tcBorders>
              <w:top w:val="nil"/>
              <w:left w:val="nil"/>
              <w:bottom w:val="nil"/>
              <w:right w:val="nil"/>
            </w:tcBorders>
            <w:shd w:val="clear" w:color="auto" w:fill="auto"/>
            <w:noWrap/>
            <w:hideMark/>
          </w:tcPr>
          <w:p w14:paraId="02EF6BB9" w14:textId="77777777" w:rsidR="00F129F7" w:rsidRPr="008253C4" w:rsidRDefault="00F129F7" w:rsidP="008253C4">
            <w:pPr>
              <w:jc w:val="center"/>
              <w:rPr>
                <w:color w:val="000000"/>
                <w:sz w:val="18"/>
                <w:szCs w:val="18"/>
              </w:rPr>
            </w:pPr>
            <w:r w:rsidRPr="008253C4">
              <w:rPr>
                <w:color w:val="000000"/>
                <w:sz w:val="18"/>
                <w:szCs w:val="18"/>
              </w:rPr>
              <w:t>7.23 (1.24)</w:t>
            </w:r>
          </w:p>
        </w:tc>
        <w:tc>
          <w:tcPr>
            <w:tcW w:w="283" w:type="dxa"/>
            <w:tcBorders>
              <w:top w:val="nil"/>
              <w:left w:val="nil"/>
              <w:bottom w:val="nil"/>
              <w:right w:val="nil"/>
            </w:tcBorders>
            <w:shd w:val="clear" w:color="auto" w:fill="auto"/>
            <w:noWrap/>
            <w:hideMark/>
          </w:tcPr>
          <w:p w14:paraId="3604404B"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5C235DE8"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53D663E6"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62C3477E" w14:textId="77777777" w:rsidR="00F129F7" w:rsidRPr="008253C4" w:rsidRDefault="00F129F7" w:rsidP="008253C4">
            <w:pPr>
              <w:rPr>
                <w:color w:val="000000"/>
                <w:sz w:val="18"/>
                <w:szCs w:val="18"/>
              </w:rPr>
            </w:pPr>
          </w:p>
        </w:tc>
      </w:tr>
      <w:tr w:rsidR="00F129F7" w:rsidRPr="00F129F7" w14:paraId="61C18EF0" w14:textId="77777777" w:rsidTr="009378CB">
        <w:trPr>
          <w:trHeight w:val="320"/>
        </w:trPr>
        <w:tc>
          <w:tcPr>
            <w:tcW w:w="281" w:type="dxa"/>
            <w:tcBorders>
              <w:top w:val="nil"/>
              <w:left w:val="nil"/>
              <w:bottom w:val="nil"/>
              <w:right w:val="nil"/>
            </w:tcBorders>
            <w:shd w:val="clear" w:color="auto" w:fill="auto"/>
            <w:noWrap/>
            <w:hideMark/>
          </w:tcPr>
          <w:p w14:paraId="5EA8FE7C"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1437CB38" w14:textId="77777777" w:rsidR="00F129F7" w:rsidRPr="008253C4" w:rsidRDefault="00F129F7" w:rsidP="008253C4">
            <w:pPr>
              <w:rPr>
                <w:color w:val="000000"/>
                <w:sz w:val="18"/>
                <w:szCs w:val="18"/>
              </w:rPr>
            </w:pPr>
            <w:proofErr w:type="spellStart"/>
            <w:r w:rsidRPr="008253C4">
              <w:rPr>
                <w:color w:val="000000"/>
                <w:sz w:val="18"/>
                <w:szCs w:val="18"/>
              </w:rPr>
              <w:t>heiQ</w:t>
            </w:r>
            <w:proofErr w:type="spellEnd"/>
            <w:r w:rsidRPr="008253C4">
              <w:rPr>
                <w:color w:val="000000"/>
                <w:sz w:val="18"/>
                <w:szCs w:val="18"/>
              </w:rPr>
              <w:t>-Skills and technique acquisition</w:t>
            </w:r>
          </w:p>
        </w:tc>
        <w:tc>
          <w:tcPr>
            <w:tcW w:w="1418" w:type="dxa"/>
            <w:tcBorders>
              <w:top w:val="nil"/>
              <w:left w:val="nil"/>
              <w:bottom w:val="nil"/>
              <w:right w:val="nil"/>
            </w:tcBorders>
            <w:shd w:val="clear" w:color="auto" w:fill="auto"/>
            <w:noWrap/>
            <w:hideMark/>
          </w:tcPr>
          <w:p w14:paraId="3B7BD399"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18716D86"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52837875"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18B104FC"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5A190146"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0C52D072"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60135C1C" w14:textId="77777777" w:rsidR="00F129F7" w:rsidRPr="008253C4" w:rsidRDefault="00F129F7" w:rsidP="008253C4">
            <w:pPr>
              <w:jc w:val="center"/>
              <w:rPr>
                <w:sz w:val="18"/>
                <w:szCs w:val="18"/>
              </w:rPr>
            </w:pPr>
          </w:p>
        </w:tc>
      </w:tr>
      <w:tr w:rsidR="00F129F7" w:rsidRPr="00F129F7" w14:paraId="2EBCF533" w14:textId="77777777" w:rsidTr="009378CB">
        <w:trPr>
          <w:trHeight w:val="320"/>
        </w:trPr>
        <w:tc>
          <w:tcPr>
            <w:tcW w:w="281" w:type="dxa"/>
            <w:tcBorders>
              <w:top w:val="nil"/>
              <w:left w:val="nil"/>
              <w:bottom w:val="nil"/>
              <w:right w:val="nil"/>
            </w:tcBorders>
            <w:shd w:val="clear" w:color="auto" w:fill="auto"/>
            <w:noWrap/>
            <w:hideMark/>
          </w:tcPr>
          <w:p w14:paraId="59957530"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55BD90C5"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6467C9B4"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7CB1ED0E" w14:textId="77777777" w:rsidR="00F129F7" w:rsidRPr="008253C4" w:rsidRDefault="00F129F7" w:rsidP="008253C4">
            <w:pPr>
              <w:jc w:val="center"/>
              <w:rPr>
                <w:color w:val="000000"/>
                <w:sz w:val="18"/>
                <w:szCs w:val="18"/>
              </w:rPr>
            </w:pPr>
            <w:r w:rsidRPr="008253C4">
              <w:rPr>
                <w:color w:val="000000"/>
                <w:sz w:val="18"/>
                <w:szCs w:val="18"/>
              </w:rPr>
              <w:t>2.86 (0.39)</w:t>
            </w:r>
          </w:p>
        </w:tc>
        <w:tc>
          <w:tcPr>
            <w:tcW w:w="1418" w:type="dxa"/>
            <w:tcBorders>
              <w:top w:val="nil"/>
              <w:left w:val="nil"/>
              <w:bottom w:val="nil"/>
              <w:right w:val="nil"/>
            </w:tcBorders>
            <w:shd w:val="clear" w:color="auto" w:fill="auto"/>
            <w:noWrap/>
            <w:hideMark/>
          </w:tcPr>
          <w:p w14:paraId="50E03D27" w14:textId="77777777" w:rsidR="00F129F7" w:rsidRPr="008253C4" w:rsidRDefault="00F129F7" w:rsidP="008253C4">
            <w:pPr>
              <w:jc w:val="center"/>
              <w:rPr>
                <w:color w:val="000000"/>
                <w:sz w:val="18"/>
                <w:szCs w:val="18"/>
              </w:rPr>
            </w:pPr>
            <w:r w:rsidRPr="008253C4">
              <w:rPr>
                <w:color w:val="000000"/>
                <w:sz w:val="18"/>
                <w:szCs w:val="18"/>
              </w:rPr>
              <w:t>2.55 (0.54)</w:t>
            </w:r>
          </w:p>
        </w:tc>
        <w:tc>
          <w:tcPr>
            <w:tcW w:w="1417" w:type="dxa"/>
            <w:tcBorders>
              <w:top w:val="nil"/>
              <w:left w:val="nil"/>
              <w:bottom w:val="nil"/>
              <w:right w:val="nil"/>
            </w:tcBorders>
            <w:shd w:val="clear" w:color="auto" w:fill="auto"/>
            <w:noWrap/>
            <w:hideMark/>
          </w:tcPr>
          <w:p w14:paraId="4596DFCD" w14:textId="77777777" w:rsidR="00F129F7" w:rsidRPr="008253C4" w:rsidRDefault="00F129F7" w:rsidP="008253C4">
            <w:pPr>
              <w:jc w:val="center"/>
              <w:rPr>
                <w:color w:val="000000"/>
                <w:sz w:val="18"/>
                <w:szCs w:val="18"/>
              </w:rPr>
            </w:pPr>
            <w:r w:rsidRPr="008253C4">
              <w:rPr>
                <w:color w:val="000000"/>
                <w:sz w:val="18"/>
                <w:szCs w:val="18"/>
              </w:rPr>
              <w:t>2.73 (0.41)</w:t>
            </w:r>
          </w:p>
        </w:tc>
        <w:tc>
          <w:tcPr>
            <w:tcW w:w="1418" w:type="dxa"/>
            <w:tcBorders>
              <w:top w:val="nil"/>
              <w:left w:val="nil"/>
              <w:bottom w:val="nil"/>
              <w:right w:val="nil"/>
            </w:tcBorders>
            <w:shd w:val="clear" w:color="auto" w:fill="auto"/>
            <w:noWrap/>
            <w:hideMark/>
          </w:tcPr>
          <w:p w14:paraId="4814A51F" w14:textId="77777777" w:rsidR="00F129F7" w:rsidRPr="008253C4" w:rsidRDefault="00F129F7" w:rsidP="008253C4">
            <w:pPr>
              <w:jc w:val="center"/>
              <w:rPr>
                <w:color w:val="000000"/>
                <w:sz w:val="18"/>
                <w:szCs w:val="18"/>
              </w:rPr>
            </w:pPr>
            <w:r w:rsidRPr="008253C4">
              <w:rPr>
                <w:color w:val="000000"/>
                <w:sz w:val="18"/>
                <w:szCs w:val="18"/>
              </w:rPr>
              <w:t>2.78 (0.52)</w:t>
            </w:r>
          </w:p>
        </w:tc>
        <w:tc>
          <w:tcPr>
            <w:tcW w:w="283" w:type="dxa"/>
            <w:tcBorders>
              <w:top w:val="nil"/>
              <w:left w:val="nil"/>
              <w:bottom w:val="nil"/>
              <w:right w:val="nil"/>
            </w:tcBorders>
            <w:shd w:val="clear" w:color="auto" w:fill="auto"/>
            <w:noWrap/>
            <w:hideMark/>
          </w:tcPr>
          <w:p w14:paraId="5B0F7472"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7AF31F9D"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3.76,</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.012, </w:t>
            </w:r>
            <w:r w:rsidRPr="008253C4">
              <w:rPr>
                <w:b/>
                <w:bCs/>
                <w:i/>
                <w:iCs/>
                <w:color w:val="000000"/>
                <w:sz w:val="18"/>
                <w:szCs w:val="18"/>
              </w:rPr>
              <w:t>η2</w:t>
            </w:r>
            <w:r w:rsidRPr="008253C4">
              <w:rPr>
                <w:b/>
                <w:bCs/>
                <w:color w:val="000000"/>
                <w:sz w:val="18"/>
                <w:szCs w:val="18"/>
              </w:rPr>
              <w:t xml:space="preserve"> = 0.07</w:t>
            </w:r>
          </w:p>
        </w:tc>
        <w:tc>
          <w:tcPr>
            <w:tcW w:w="1276" w:type="dxa"/>
            <w:vMerge w:val="restart"/>
            <w:tcBorders>
              <w:top w:val="nil"/>
              <w:left w:val="nil"/>
              <w:bottom w:val="nil"/>
              <w:right w:val="nil"/>
            </w:tcBorders>
            <w:shd w:val="clear" w:color="auto" w:fill="auto"/>
            <w:hideMark/>
          </w:tcPr>
          <w:p w14:paraId="5C10C0F2"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154) = 0.37,</w:t>
            </w:r>
            <w:r w:rsidRPr="008253C4">
              <w:rPr>
                <w:color w:val="000000"/>
                <w:sz w:val="18"/>
                <w:szCs w:val="18"/>
              </w:rPr>
              <w:br/>
            </w:r>
            <w:r w:rsidRPr="008253C4">
              <w:rPr>
                <w:i/>
                <w:iCs/>
                <w:color w:val="000000"/>
                <w:sz w:val="18"/>
                <w:szCs w:val="18"/>
              </w:rPr>
              <w:t>p</w:t>
            </w:r>
            <w:r w:rsidRPr="008253C4">
              <w:rPr>
                <w:color w:val="000000"/>
                <w:sz w:val="18"/>
                <w:szCs w:val="18"/>
              </w:rPr>
              <w:t xml:space="preserve"> = .546, </w:t>
            </w:r>
            <w:r w:rsidRPr="008253C4">
              <w:rPr>
                <w:i/>
                <w:iCs/>
                <w:color w:val="000000"/>
                <w:sz w:val="18"/>
                <w:szCs w:val="18"/>
              </w:rPr>
              <w:t>η2</w:t>
            </w:r>
            <w:r w:rsidRPr="008253C4">
              <w:rPr>
                <w:color w:val="000000"/>
                <w:sz w:val="18"/>
                <w:szCs w:val="18"/>
              </w:rPr>
              <w:t xml:space="preserve"> = 0.002</w:t>
            </w:r>
          </w:p>
        </w:tc>
        <w:tc>
          <w:tcPr>
            <w:tcW w:w="1275" w:type="dxa"/>
            <w:vMerge w:val="restart"/>
            <w:tcBorders>
              <w:top w:val="nil"/>
              <w:left w:val="nil"/>
              <w:bottom w:val="nil"/>
              <w:right w:val="nil"/>
            </w:tcBorders>
            <w:shd w:val="clear" w:color="auto" w:fill="auto"/>
            <w:hideMark/>
          </w:tcPr>
          <w:p w14:paraId="09C6E7F2"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154)=0.32,</w:t>
            </w:r>
            <w:r w:rsidRPr="008253C4">
              <w:rPr>
                <w:color w:val="000000"/>
                <w:sz w:val="18"/>
                <w:szCs w:val="18"/>
              </w:rPr>
              <w:br/>
            </w:r>
            <w:r w:rsidRPr="008253C4">
              <w:rPr>
                <w:i/>
                <w:iCs/>
                <w:color w:val="000000"/>
                <w:sz w:val="18"/>
                <w:szCs w:val="18"/>
              </w:rPr>
              <w:t>p</w:t>
            </w:r>
            <w:r w:rsidRPr="008253C4">
              <w:rPr>
                <w:color w:val="000000"/>
                <w:sz w:val="18"/>
                <w:szCs w:val="18"/>
              </w:rPr>
              <w:t xml:space="preserve"> = .812, </w:t>
            </w:r>
            <w:r w:rsidRPr="008253C4">
              <w:rPr>
                <w:i/>
                <w:iCs/>
                <w:color w:val="000000"/>
                <w:sz w:val="18"/>
                <w:szCs w:val="18"/>
              </w:rPr>
              <w:t>η2</w:t>
            </w:r>
            <w:r w:rsidRPr="008253C4">
              <w:rPr>
                <w:color w:val="000000"/>
                <w:sz w:val="18"/>
                <w:szCs w:val="18"/>
              </w:rPr>
              <w:t xml:space="preserve"> = 0.01</w:t>
            </w:r>
          </w:p>
        </w:tc>
      </w:tr>
      <w:tr w:rsidR="00F129F7" w:rsidRPr="00F129F7" w14:paraId="50698CA0" w14:textId="77777777" w:rsidTr="009378CB">
        <w:trPr>
          <w:trHeight w:val="320"/>
        </w:trPr>
        <w:tc>
          <w:tcPr>
            <w:tcW w:w="281" w:type="dxa"/>
            <w:tcBorders>
              <w:top w:val="nil"/>
              <w:left w:val="nil"/>
              <w:bottom w:val="nil"/>
              <w:right w:val="nil"/>
            </w:tcBorders>
            <w:shd w:val="clear" w:color="auto" w:fill="auto"/>
            <w:noWrap/>
            <w:hideMark/>
          </w:tcPr>
          <w:p w14:paraId="2217678B"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76EBF3F1"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54FA6A72"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25D28809" w14:textId="77777777" w:rsidR="00F129F7" w:rsidRPr="008253C4" w:rsidRDefault="00F129F7" w:rsidP="008253C4">
            <w:pPr>
              <w:jc w:val="center"/>
              <w:rPr>
                <w:color w:val="000000"/>
                <w:sz w:val="18"/>
                <w:szCs w:val="18"/>
              </w:rPr>
            </w:pPr>
            <w:r w:rsidRPr="008253C4">
              <w:rPr>
                <w:color w:val="000000"/>
                <w:sz w:val="18"/>
                <w:szCs w:val="18"/>
              </w:rPr>
              <w:t>2.80 (0.38)</w:t>
            </w:r>
          </w:p>
        </w:tc>
        <w:tc>
          <w:tcPr>
            <w:tcW w:w="1418" w:type="dxa"/>
            <w:tcBorders>
              <w:top w:val="nil"/>
              <w:left w:val="nil"/>
              <w:bottom w:val="nil"/>
              <w:right w:val="nil"/>
            </w:tcBorders>
            <w:shd w:val="clear" w:color="auto" w:fill="auto"/>
            <w:noWrap/>
            <w:hideMark/>
          </w:tcPr>
          <w:p w14:paraId="18B974F9" w14:textId="77777777" w:rsidR="00F129F7" w:rsidRPr="008253C4" w:rsidRDefault="00F129F7" w:rsidP="008253C4">
            <w:pPr>
              <w:jc w:val="center"/>
              <w:rPr>
                <w:color w:val="000000"/>
                <w:sz w:val="18"/>
                <w:szCs w:val="18"/>
              </w:rPr>
            </w:pPr>
            <w:r w:rsidRPr="008253C4">
              <w:rPr>
                <w:color w:val="000000"/>
                <w:sz w:val="18"/>
                <w:szCs w:val="18"/>
              </w:rPr>
              <w:t>2.46 (0.45)</w:t>
            </w:r>
          </w:p>
        </w:tc>
        <w:tc>
          <w:tcPr>
            <w:tcW w:w="1417" w:type="dxa"/>
            <w:tcBorders>
              <w:top w:val="nil"/>
              <w:left w:val="nil"/>
              <w:bottom w:val="nil"/>
              <w:right w:val="nil"/>
            </w:tcBorders>
            <w:shd w:val="clear" w:color="auto" w:fill="auto"/>
            <w:noWrap/>
            <w:hideMark/>
          </w:tcPr>
          <w:p w14:paraId="1DC934AC" w14:textId="77777777" w:rsidR="00F129F7" w:rsidRPr="008253C4" w:rsidRDefault="00F129F7" w:rsidP="008253C4">
            <w:pPr>
              <w:jc w:val="center"/>
              <w:rPr>
                <w:color w:val="000000"/>
                <w:sz w:val="18"/>
                <w:szCs w:val="18"/>
              </w:rPr>
            </w:pPr>
            <w:r w:rsidRPr="008253C4">
              <w:rPr>
                <w:color w:val="000000"/>
                <w:sz w:val="18"/>
                <w:szCs w:val="18"/>
              </w:rPr>
              <w:t>2.73 (0.50)</w:t>
            </w:r>
          </w:p>
        </w:tc>
        <w:tc>
          <w:tcPr>
            <w:tcW w:w="1418" w:type="dxa"/>
            <w:tcBorders>
              <w:top w:val="nil"/>
              <w:left w:val="nil"/>
              <w:bottom w:val="nil"/>
              <w:right w:val="nil"/>
            </w:tcBorders>
            <w:shd w:val="clear" w:color="auto" w:fill="auto"/>
            <w:noWrap/>
            <w:hideMark/>
          </w:tcPr>
          <w:p w14:paraId="4AF67783" w14:textId="77777777" w:rsidR="00F129F7" w:rsidRPr="008253C4" w:rsidRDefault="00F129F7" w:rsidP="008253C4">
            <w:pPr>
              <w:jc w:val="center"/>
              <w:rPr>
                <w:color w:val="000000"/>
                <w:sz w:val="18"/>
                <w:szCs w:val="18"/>
              </w:rPr>
            </w:pPr>
            <w:r w:rsidRPr="008253C4">
              <w:rPr>
                <w:color w:val="000000"/>
                <w:sz w:val="18"/>
                <w:szCs w:val="18"/>
              </w:rPr>
              <w:t>2.80 (0.55)</w:t>
            </w:r>
          </w:p>
        </w:tc>
        <w:tc>
          <w:tcPr>
            <w:tcW w:w="283" w:type="dxa"/>
            <w:tcBorders>
              <w:top w:val="nil"/>
              <w:left w:val="nil"/>
              <w:bottom w:val="nil"/>
              <w:right w:val="nil"/>
            </w:tcBorders>
            <w:shd w:val="clear" w:color="auto" w:fill="auto"/>
            <w:noWrap/>
            <w:hideMark/>
          </w:tcPr>
          <w:p w14:paraId="6C53ABF0"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60F7FDBD"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24CE16B3"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11499F1B" w14:textId="77777777" w:rsidR="00F129F7" w:rsidRPr="008253C4" w:rsidRDefault="00F129F7" w:rsidP="008253C4">
            <w:pPr>
              <w:rPr>
                <w:color w:val="000000"/>
                <w:sz w:val="18"/>
                <w:szCs w:val="18"/>
              </w:rPr>
            </w:pPr>
          </w:p>
        </w:tc>
      </w:tr>
      <w:tr w:rsidR="00F129F7" w:rsidRPr="00F129F7" w14:paraId="3925B09C" w14:textId="77777777" w:rsidTr="009378CB">
        <w:trPr>
          <w:trHeight w:val="320"/>
        </w:trPr>
        <w:tc>
          <w:tcPr>
            <w:tcW w:w="281" w:type="dxa"/>
            <w:tcBorders>
              <w:top w:val="nil"/>
              <w:left w:val="nil"/>
              <w:bottom w:val="nil"/>
              <w:right w:val="nil"/>
            </w:tcBorders>
            <w:shd w:val="clear" w:color="auto" w:fill="auto"/>
            <w:noWrap/>
            <w:hideMark/>
          </w:tcPr>
          <w:p w14:paraId="7C44AA57"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7147D219" w14:textId="77777777" w:rsidR="00F129F7" w:rsidRPr="008253C4" w:rsidRDefault="00F129F7" w:rsidP="008253C4">
            <w:pPr>
              <w:rPr>
                <w:color w:val="000000"/>
                <w:sz w:val="18"/>
                <w:szCs w:val="18"/>
              </w:rPr>
            </w:pPr>
            <w:proofErr w:type="spellStart"/>
            <w:r w:rsidRPr="008253C4">
              <w:rPr>
                <w:color w:val="000000"/>
                <w:sz w:val="18"/>
                <w:szCs w:val="18"/>
              </w:rPr>
              <w:t>heiQ</w:t>
            </w:r>
            <w:proofErr w:type="spellEnd"/>
            <w:r w:rsidRPr="008253C4">
              <w:rPr>
                <w:color w:val="000000"/>
                <w:sz w:val="18"/>
                <w:szCs w:val="18"/>
              </w:rPr>
              <w:t>-Self-monitoring and insight</w:t>
            </w:r>
          </w:p>
        </w:tc>
        <w:tc>
          <w:tcPr>
            <w:tcW w:w="1418" w:type="dxa"/>
            <w:tcBorders>
              <w:top w:val="nil"/>
              <w:left w:val="nil"/>
              <w:bottom w:val="nil"/>
              <w:right w:val="nil"/>
            </w:tcBorders>
            <w:shd w:val="clear" w:color="auto" w:fill="auto"/>
            <w:noWrap/>
            <w:hideMark/>
          </w:tcPr>
          <w:p w14:paraId="6B540B15"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123A042A"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56BE8983"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66AE40A7"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45F32D3F"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1D1B96EA"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46795E5B" w14:textId="77777777" w:rsidR="00F129F7" w:rsidRPr="008253C4" w:rsidRDefault="00F129F7" w:rsidP="008253C4">
            <w:pPr>
              <w:jc w:val="center"/>
              <w:rPr>
                <w:sz w:val="18"/>
                <w:szCs w:val="18"/>
              </w:rPr>
            </w:pPr>
          </w:p>
        </w:tc>
      </w:tr>
      <w:tr w:rsidR="00F129F7" w:rsidRPr="00F129F7" w14:paraId="409D73BA" w14:textId="77777777" w:rsidTr="009378CB">
        <w:trPr>
          <w:trHeight w:val="320"/>
        </w:trPr>
        <w:tc>
          <w:tcPr>
            <w:tcW w:w="281" w:type="dxa"/>
            <w:tcBorders>
              <w:top w:val="nil"/>
              <w:left w:val="nil"/>
              <w:bottom w:val="nil"/>
              <w:right w:val="nil"/>
            </w:tcBorders>
            <w:shd w:val="clear" w:color="auto" w:fill="auto"/>
            <w:noWrap/>
            <w:hideMark/>
          </w:tcPr>
          <w:p w14:paraId="75F52B8F"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5994F373"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424C6F33"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0952CB00" w14:textId="77777777" w:rsidR="00F129F7" w:rsidRPr="008253C4" w:rsidRDefault="00F129F7" w:rsidP="008253C4">
            <w:pPr>
              <w:jc w:val="center"/>
              <w:rPr>
                <w:color w:val="000000"/>
                <w:sz w:val="18"/>
                <w:szCs w:val="18"/>
              </w:rPr>
            </w:pPr>
            <w:r w:rsidRPr="008253C4">
              <w:rPr>
                <w:color w:val="000000"/>
                <w:sz w:val="18"/>
                <w:szCs w:val="18"/>
              </w:rPr>
              <w:t>3.08 (0.40)</w:t>
            </w:r>
          </w:p>
        </w:tc>
        <w:tc>
          <w:tcPr>
            <w:tcW w:w="1418" w:type="dxa"/>
            <w:tcBorders>
              <w:top w:val="nil"/>
              <w:left w:val="nil"/>
              <w:bottom w:val="nil"/>
              <w:right w:val="nil"/>
            </w:tcBorders>
            <w:shd w:val="clear" w:color="auto" w:fill="auto"/>
            <w:noWrap/>
            <w:hideMark/>
          </w:tcPr>
          <w:p w14:paraId="48427FD0" w14:textId="77777777" w:rsidR="00F129F7" w:rsidRPr="008253C4" w:rsidRDefault="00F129F7" w:rsidP="008253C4">
            <w:pPr>
              <w:jc w:val="center"/>
              <w:rPr>
                <w:color w:val="000000"/>
                <w:sz w:val="18"/>
                <w:szCs w:val="18"/>
              </w:rPr>
            </w:pPr>
            <w:r w:rsidRPr="008253C4">
              <w:rPr>
                <w:color w:val="000000"/>
                <w:sz w:val="18"/>
                <w:szCs w:val="18"/>
              </w:rPr>
              <w:t>2.85 (0.35)</w:t>
            </w:r>
          </w:p>
        </w:tc>
        <w:tc>
          <w:tcPr>
            <w:tcW w:w="1417" w:type="dxa"/>
            <w:tcBorders>
              <w:top w:val="nil"/>
              <w:left w:val="nil"/>
              <w:bottom w:val="nil"/>
              <w:right w:val="nil"/>
            </w:tcBorders>
            <w:shd w:val="clear" w:color="auto" w:fill="auto"/>
            <w:noWrap/>
            <w:hideMark/>
          </w:tcPr>
          <w:p w14:paraId="3A2E2CF9" w14:textId="77777777" w:rsidR="00F129F7" w:rsidRPr="008253C4" w:rsidRDefault="00F129F7" w:rsidP="008253C4">
            <w:pPr>
              <w:jc w:val="center"/>
              <w:rPr>
                <w:color w:val="000000"/>
                <w:sz w:val="18"/>
                <w:szCs w:val="18"/>
              </w:rPr>
            </w:pPr>
            <w:r w:rsidRPr="008253C4">
              <w:rPr>
                <w:color w:val="000000"/>
                <w:sz w:val="18"/>
                <w:szCs w:val="18"/>
              </w:rPr>
              <w:t>2.99 (0.24)</w:t>
            </w:r>
          </w:p>
        </w:tc>
        <w:tc>
          <w:tcPr>
            <w:tcW w:w="1418" w:type="dxa"/>
            <w:tcBorders>
              <w:top w:val="nil"/>
              <w:left w:val="nil"/>
              <w:bottom w:val="nil"/>
              <w:right w:val="nil"/>
            </w:tcBorders>
            <w:shd w:val="clear" w:color="auto" w:fill="auto"/>
            <w:noWrap/>
            <w:hideMark/>
          </w:tcPr>
          <w:p w14:paraId="18802134" w14:textId="77777777" w:rsidR="00F129F7" w:rsidRPr="008253C4" w:rsidRDefault="00F129F7" w:rsidP="008253C4">
            <w:pPr>
              <w:jc w:val="center"/>
              <w:rPr>
                <w:color w:val="000000"/>
                <w:sz w:val="18"/>
                <w:szCs w:val="18"/>
              </w:rPr>
            </w:pPr>
            <w:r w:rsidRPr="008253C4">
              <w:rPr>
                <w:color w:val="000000"/>
                <w:sz w:val="18"/>
                <w:szCs w:val="18"/>
              </w:rPr>
              <w:t>3.06 (0.37)</w:t>
            </w:r>
          </w:p>
        </w:tc>
        <w:tc>
          <w:tcPr>
            <w:tcW w:w="283" w:type="dxa"/>
            <w:tcBorders>
              <w:top w:val="nil"/>
              <w:left w:val="nil"/>
              <w:bottom w:val="nil"/>
              <w:right w:val="nil"/>
            </w:tcBorders>
            <w:shd w:val="clear" w:color="auto" w:fill="auto"/>
            <w:noWrap/>
            <w:hideMark/>
          </w:tcPr>
          <w:p w14:paraId="06868C14"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72B899FA"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3.21,</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.025, </w:t>
            </w:r>
            <w:r w:rsidRPr="008253C4">
              <w:rPr>
                <w:b/>
                <w:bCs/>
                <w:i/>
                <w:iCs/>
                <w:color w:val="000000"/>
                <w:sz w:val="18"/>
                <w:szCs w:val="18"/>
              </w:rPr>
              <w:t>η2</w:t>
            </w:r>
            <w:r w:rsidRPr="008253C4">
              <w:rPr>
                <w:b/>
                <w:bCs/>
                <w:color w:val="000000"/>
                <w:sz w:val="18"/>
                <w:szCs w:val="18"/>
              </w:rPr>
              <w:t xml:space="preserve"> = 0.06</w:t>
            </w:r>
          </w:p>
        </w:tc>
        <w:tc>
          <w:tcPr>
            <w:tcW w:w="1276" w:type="dxa"/>
            <w:vMerge w:val="restart"/>
            <w:tcBorders>
              <w:top w:val="nil"/>
              <w:left w:val="nil"/>
              <w:bottom w:val="nil"/>
              <w:right w:val="nil"/>
            </w:tcBorders>
            <w:shd w:val="clear" w:color="auto" w:fill="auto"/>
            <w:hideMark/>
          </w:tcPr>
          <w:p w14:paraId="2EF80D4C"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154) = 0.99,</w:t>
            </w:r>
            <w:r w:rsidRPr="008253C4">
              <w:rPr>
                <w:color w:val="000000"/>
                <w:sz w:val="18"/>
                <w:szCs w:val="18"/>
              </w:rPr>
              <w:br/>
            </w:r>
            <w:r w:rsidRPr="008253C4">
              <w:rPr>
                <w:i/>
                <w:iCs/>
                <w:color w:val="000000"/>
                <w:sz w:val="18"/>
                <w:szCs w:val="18"/>
              </w:rPr>
              <w:t>p</w:t>
            </w:r>
            <w:r w:rsidRPr="008253C4">
              <w:rPr>
                <w:color w:val="000000"/>
                <w:sz w:val="18"/>
                <w:szCs w:val="18"/>
              </w:rPr>
              <w:t xml:space="preserve"> = .321, </w:t>
            </w:r>
            <w:r w:rsidRPr="008253C4">
              <w:rPr>
                <w:i/>
                <w:iCs/>
                <w:color w:val="000000"/>
                <w:sz w:val="18"/>
                <w:szCs w:val="18"/>
              </w:rPr>
              <w:t>η2</w:t>
            </w:r>
            <w:r w:rsidRPr="008253C4">
              <w:rPr>
                <w:color w:val="000000"/>
                <w:sz w:val="18"/>
                <w:szCs w:val="18"/>
              </w:rPr>
              <w:t xml:space="preserve"> = 0.01</w:t>
            </w:r>
          </w:p>
        </w:tc>
        <w:tc>
          <w:tcPr>
            <w:tcW w:w="1275" w:type="dxa"/>
            <w:vMerge w:val="restart"/>
            <w:tcBorders>
              <w:top w:val="nil"/>
              <w:left w:val="nil"/>
              <w:bottom w:val="nil"/>
              <w:right w:val="nil"/>
            </w:tcBorders>
            <w:shd w:val="clear" w:color="auto" w:fill="auto"/>
            <w:hideMark/>
          </w:tcPr>
          <w:p w14:paraId="7D22F1A6"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154) = 1.30,</w:t>
            </w:r>
            <w:r w:rsidRPr="008253C4">
              <w:rPr>
                <w:color w:val="000000"/>
                <w:sz w:val="18"/>
                <w:szCs w:val="18"/>
              </w:rPr>
              <w:br/>
            </w:r>
            <w:r w:rsidRPr="008253C4">
              <w:rPr>
                <w:i/>
                <w:iCs/>
                <w:color w:val="000000"/>
                <w:sz w:val="18"/>
                <w:szCs w:val="18"/>
              </w:rPr>
              <w:t>p</w:t>
            </w:r>
            <w:r w:rsidRPr="008253C4">
              <w:rPr>
                <w:color w:val="000000"/>
                <w:sz w:val="18"/>
                <w:szCs w:val="18"/>
              </w:rPr>
              <w:t xml:space="preserve"> = .276, </w:t>
            </w:r>
            <w:r w:rsidRPr="008253C4">
              <w:rPr>
                <w:i/>
                <w:iCs/>
                <w:color w:val="000000"/>
                <w:sz w:val="18"/>
                <w:szCs w:val="18"/>
              </w:rPr>
              <w:t>η2</w:t>
            </w:r>
            <w:r w:rsidRPr="008253C4">
              <w:rPr>
                <w:color w:val="000000"/>
                <w:sz w:val="18"/>
                <w:szCs w:val="18"/>
              </w:rPr>
              <w:t xml:space="preserve"> = 0.03</w:t>
            </w:r>
          </w:p>
        </w:tc>
      </w:tr>
      <w:tr w:rsidR="00F129F7" w:rsidRPr="00F129F7" w14:paraId="32AE9CE7" w14:textId="77777777" w:rsidTr="009378CB">
        <w:trPr>
          <w:trHeight w:val="320"/>
        </w:trPr>
        <w:tc>
          <w:tcPr>
            <w:tcW w:w="281" w:type="dxa"/>
            <w:tcBorders>
              <w:top w:val="nil"/>
              <w:left w:val="nil"/>
              <w:bottom w:val="nil"/>
              <w:right w:val="nil"/>
            </w:tcBorders>
            <w:shd w:val="clear" w:color="auto" w:fill="auto"/>
            <w:noWrap/>
            <w:hideMark/>
          </w:tcPr>
          <w:p w14:paraId="736D7B50"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4A20969C"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5F3EC3E6"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05EE379C" w14:textId="77777777" w:rsidR="00F129F7" w:rsidRPr="008253C4" w:rsidRDefault="00F129F7" w:rsidP="008253C4">
            <w:pPr>
              <w:jc w:val="center"/>
              <w:rPr>
                <w:color w:val="000000"/>
                <w:sz w:val="18"/>
                <w:szCs w:val="18"/>
              </w:rPr>
            </w:pPr>
            <w:r w:rsidRPr="008253C4">
              <w:rPr>
                <w:color w:val="000000"/>
                <w:sz w:val="18"/>
                <w:szCs w:val="18"/>
              </w:rPr>
              <w:t>2.97 (0.33)</w:t>
            </w:r>
          </w:p>
        </w:tc>
        <w:tc>
          <w:tcPr>
            <w:tcW w:w="1418" w:type="dxa"/>
            <w:tcBorders>
              <w:top w:val="nil"/>
              <w:left w:val="nil"/>
              <w:bottom w:val="nil"/>
              <w:right w:val="nil"/>
            </w:tcBorders>
            <w:shd w:val="clear" w:color="auto" w:fill="auto"/>
            <w:noWrap/>
            <w:hideMark/>
          </w:tcPr>
          <w:p w14:paraId="1ED8021D" w14:textId="77777777" w:rsidR="00F129F7" w:rsidRPr="008253C4" w:rsidRDefault="00F129F7" w:rsidP="008253C4">
            <w:pPr>
              <w:jc w:val="center"/>
              <w:rPr>
                <w:color w:val="000000"/>
                <w:sz w:val="18"/>
                <w:szCs w:val="18"/>
              </w:rPr>
            </w:pPr>
            <w:r w:rsidRPr="008253C4">
              <w:rPr>
                <w:color w:val="000000"/>
                <w:sz w:val="18"/>
                <w:szCs w:val="18"/>
              </w:rPr>
              <w:t>2.74 (0.32)</w:t>
            </w:r>
          </w:p>
        </w:tc>
        <w:tc>
          <w:tcPr>
            <w:tcW w:w="1417" w:type="dxa"/>
            <w:tcBorders>
              <w:top w:val="nil"/>
              <w:left w:val="nil"/>
              <w:bottom w:val="nil"/>
              <w:right w:val="nil"/>
            </w:tcBorders>
            <w:shd w:val="clear" w:color="auto" w:fill="auto"/>
            <w:noWrap/>
            <w:hideMark/>
          </w:tcPr>
          <w:p w14:paraId="5FD5CCFA" w14:textId="77777777" w:rsidR="00F129F7" w:rsidRPr="008253C4" w:rsidRDefault="00F129F7" w:rsidP="008253C4">
            <w:pPr>
              <w:jc w:val="center"/>
              <w:rPr>
                <w:color w:val="000000"/>
                <w:sz w:val="18"/>
                <w:szCs w:val="18"/>
              </w:rPr>
            </w:pPr>
            <w:r w:rsidRPr="008253C4">
              <w:rPr>
                <w:color w:val="000000"/>
                <w:sz w:val="18"/>
                <w:szCs w:val="18"/>
              </w:rPr>
              <w:t>3.01 (0.34)</w:t>
            </w:r>
          </w:p>
        </w:tc>
        <w:tc>
          <w:tcPr>
            <w:tcW w:w="1418" w:type="dxa"/>
            <w:tcBorders>
              <w:top w:val="nil"/>
              <w:left w:val="nil"/>
              <w:bottom w:val="nil"/>
              <w:right w:val="nil"/>
            </w:tcBorders>
            <w:shd w:val="clear" w:color="auto" w:fill="auto"/>
            <w:noWrap/>
            <w:hideMark/>
          </w:tcPr>
          <w:p w14:paraId="282586BC" w14:textId="77777777" w:rsidR="00F129F7" w:rsidRPr="008253C4" w:rsidRDefault="00F129F7" w:rsidP="008253C4">
            <w:pPr>
              <w:jc w:val="center"/>
              <w:rPr>
                <w:color w:val="000000"/>
                <w:sz w:val="18"/>
                <w:szCs w:val="18"/>
              </w:rPr>
            </w:pPr>
            <w:r w:rsidRPr="008253C4">
              <w:rPr>
                <w:color w:val="000000"/>
                <w:sz w:val="18"/>
                <w:szCs w:val="18"/>
              </w:rPr>
              <w:t>3.09 (0.32)</w:t>
            </w:r>
          </w:p>
        </w:tc>
        <w:tc>
          <w:tcPr>
            <w:tcW w:w="283" w:type="dxa"/>
            <w:tcBorders>
              <w:top w:val="nil"/>
              <w:left w:val="nil"/>
              <w:bottom w:val="nil"/>
              <w:right w:val="nil"/>
            </w:tcBorders>
            <w:shd w:val="clear" w:color="auto" w:fill="auto"/>
            <w:noWrap/>
            <w:hideMark/>
          </w:tcPr>
          <w:p w14:paraId="42AEB410"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433E9484"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52D46976"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39DEC815" w14:textId="77777777" w:rsidR="00F129F7" w:rsidRPr="008253C4" w:rsidRDefault="00F129F7" w:rsidP="008253C4">
            <w:pPr>
              <w:rPr>
                <w:color w:val="000000"/>
                <w:sz w:val="18"/>
                <w:szCs w:val="18"/>
              </w:rPr>
            </w:pPr>
          </w:p>
        </w:tc>
      </w:tr>
      <w:tr w:rsidR="00F129F7" w:rsidRPr="00F129F7" w14:paraId="0F34DD32" w14:textId="77777777" w:rsidTr="009378CB">
        <w:trPr>
          <w:trHeight w:val="320"/>
        </w:trPr>
        <w:tc>
          <w:tcPr>
            <w:tcW w:w="281" w:type="dxa"/>
            <w:tcBorders>
              <w:top w:val="nil"/>
              <w:left w:val="nil"/>
              <w:bottom w:val="nil"/>
              <w:right w:val="nil"/>
            </w:tcBorders>
            <w:shd w:val="clear" w:color="auto" w:fill="auto"/>
            <w:noWrap/>
            <w:hideMark/>
          </w:tcPr>
          <w:p w14:paraId="6FC62A7F"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20594F83" w14:textId="77777777" w:rsidR="00F129F7" w:rsidRPr="008253C4" w:rsidRDefault="00F129F7" w:rsidP="008253C4">
            <w:pPr>
              <w:rPr>
                <w:color w:val="000000"/>
                <w:sz w:val="18"/>
                <w:szCs w:val="18"/>
              </w:rPr>
            </w:pPr>
            <w:proofErr w:type="spellStart"/>
            <w:r w:rsidRPr="008253C4">
              <w:rPr>
                <w:color w:val="000000"/>
                <w:sz w:val="18"/>
                <w:szCs w:val="18"/>
              </w:rPr>
              <w:t>heiQ</w:t>
            </w:r>
            <w:proofErr w:type="spellEnd"/>
            <w:r w:rsidRPr="008253C4">
              <w:rPr>
                <w:color w:val="000000"/>
                <w:sz w:val="18"/>
                <w:szCs w:val="18"/>
              </w:rPr>
              <w:t>-Health services navigation</w:t>
            </w:r>
          </w:p>
        </w:tc>
        <w:tc>
          <w:tcPr>
            <w:tcW w:w="1418" w:type="dxa"/>
            <w:tcBorders>
              <w:top w:val="nil"/>
              <w:left w:val="nil"/>
              <w:bottom w:val="nil"/>
              <w:right w:val="nil"/>
            </w:tcBorders>
            <w:shd w:val="clear" w:color="auto" w:fill="auto"/>
            <w:noWrap/>
            <w:hideMark/>
          </w:tcPr>
          <w:p w14:paraId="1D4C145B"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0AB5B0A4"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7746454A"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5DDD0D2F"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044FB419"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00BCC567"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64EDBB3C" w14:textId="77777777" w:rsidR="00F129F7" w:rsidRPr="008253C4" w:rsidRDefault="00F129F7" w:rsidP="008253C4">
            <w:pPr>
              <w:jc w:val="center"/>
              <w:rPr>
                <w:sz w:val="18"/>
                <w:szCs w:val="18"/>
              </w:rPr>
            </w:pPr>
          </w:p>
        </w:tc>
      </w:tr>
      <w:tr w:rsidR="00F129F7" w:rsidRPr="00F129F7" w14:paraId="257BE313" w14:textId="77777777" w:rsidTr="009378CB">
        <w:trPr>
          <w:trHeight w:val="320"/>
        </w:trPr>
        <w:tc>
          <w:tcPr>
            <w:tcW w:w="281" w:type="dxa"/>
            <w:tcBorders>
              <w:top w:val="nil"/>
              <w:left w:val="nil"/>
              <w:bottom w:val="nil"/>
              <w:right w:val="nil"/>
            </w:tcBorders>
            <w:shd w:val="clear" w:color="auto" w:fill="auto"/>
            <w:noWrap/>
            <w:hideMark/>
          </w:tcPr>
          <w:p w14:paraId="7A16716C"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4A0A2728"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028D0B2B"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77F217BB" w14:textId="77777777" w:rsidR="00F129F7" w:rsidRPr="008253C4" w:rsidRDefault="00F129F7" w:rsidP="008253C4">
            <w:pPr>
              <w:jc w:val="center"/>
              <w:rPr>
                <w:color w:val="000000"/>
                <w:sz w:val="18"/>
                <w:szCs w:val="18"/>
              </w:rPr>
            </w:pPr>
            <w:r w:rsidRPr="008253C4">
              <w:rPr>
                <w:color w:val="000000"/>
                <w:sz w:val="18"/>
                <w:szCs w:val="18"/>
              </w:rPr>
              <w:t>3.03 (0.40)</w:t>
            </w:r>
          </w:p>
        </w:tc>
        <w:tc>
          <w:tcPr>
            <w:tcW w:w="1418" w:type="dxa"/>
            <w:tcBorders>
              <w:top w:val="nil"/>
              <w:left w:val="nil"/>
              <w:bottom w:val="nil"/>
              <w:right w:val="nil"/>
            </w:tcBorders>
            <w:shd w:val="clear" w:color="auto" w:fill="auto"/>
            <w:noWrap/>
            <w:hideMark/>
          </w:tcPr>
          <w:p w14:paraId="1D855A19" w14:textId="77777777" w:rsidR="00F129F7" w:rsidRPr="008253C4" w:rsidRDefault="00F129F7" w:rsidP="008253C4">
            <w:pPr>
              <w:jc w:val="center"/>
              <w:rPr>
                <w:color w:val="000000"/>
                <w:sz w:val="18"/>
                <w:szCs w:val="18"/>
              </w:rPr>
            </w:pPr>
            <w:r w:rsidRPr="008253C4">
              <w:rPr>
                <w:color w:val="000000"/>
                <w:sz w:val="18"/>
                <w:szCs w:val="18"/>
              </w:rPr>
              <w:t>2.59 (0.35)</w:t>
            </w:r>
          </w:p>
        </w:tc>
        <w:tc>
          <w:tcPr>
            <w:tcW w:w="1417" w:type="dxa"/>
            <w:tcBorders>
              <w:top w:val="nil"/>
              <w:left w:val="nil"/>
              <w:bottom w:val="nil"/>
              <w:right w:val="nil"/>
            </w:tcBorders>
            <w:shd w:val="clear" w:color="auto" w:fill="auto"/>
            <w:noWrap/>
            <w:hideMark/>
          </w:tcPr>
          <w:p w14:paraId="1FDE308C" w14:textId="77777777" w:rsidR="00F129F7" w:rsidRPr="008253C4" w:rsidRDefault="00F129F7" w:rsidP="008253C4">
            <w:pPr>
              <w:jc w:val="center"/>
              <w:rPr>
                <w:color w:val="000000"/>
                <w:sz w:val="18"/>
                <w:szCs w:val="18"/>
              </w:rPr>
            </w:pPr>
            <w:r w:rsidRPr="008253C4">
              <w:rPr>
                <w:color w:val="000000"/>
                <w:sz w:val="18"/>
                <w:szCs w:val="18"/>
              </w:rPr>
              <w:t>3.04 (0.39)</w:t>
            </w:r>
          </w:p>
        </w:tc>
        <w:tc>
          <w:tcPr>
            <w:tcW w:w="1418" w:type="dxa"/>
            <w:tcBorders>
              <w:top w:val="nil"/>
              <w:left w:val="nil"/>
              <w:bottom w:val="nil"/>
              <w:right w:val="nil"/>
            </w:tcBorders>
            <w:shd w:val="clear" w:color="auto" w:fill="auto"/>
            <w:noWrap/>
            <w:hideMark/>
          </w:tcPr>
          <w:p w14:paraId="29F93EEE" w14:textId="77777777" w:rsidR="00F129F7" w:rsidRPr="008253C4" w:rsidRDefault="00F129F7" w:rsidP="008253C4">
            <w:pPr>
              <w:jc w:val="center"/>
              <w:rPr>
                <w:color w:val="000000"/>
                <w:sz w:val="18"/>
                <w:szCs w:val="18"/>
              </w:rPr>
            </w:pPr>
            <w:r w:rsidRPr="008253C4">
              <w:rPr>
                <w:color w:val="000000"/>
                <w:sz w:val="18"/>
                <w:szCs w:val="18"/>
              </w:rPr>
              <w:t>3.11 (0.44)</w:t>
            </w:r>
          </w:p>
        </w:tc>
        <w:tc>
          <w:tcPr>
            <w:tcW w:w="283" w:type="dxa"/>
            <w:tcBorders>
              <w:top w:val="nil"/>
              <w:left w:val="nil"/>
              <w:bottom w:val="nil"/>
              <w:right w:val="nil"/>
            </w:tcBorders>
            <w:shd w:val="clear" w:color="auto" w:fill="auto"/>
            <w:noWrap/>
            <w:hideMark/>
          </w:tcPr>
          <w:p w14:paraId="59F002A8"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67A2CAD5"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153) = 5.48,</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.001, </w:t>
            </w:r>
            <w:r w:rsidRPr="008253C4">
              <w:rPr>
                <w:b/>
                <w:bCs/>
                <w:i/>
                <w:iCs/>
                <w:color w:val="000000"/>
                <w:sz w:val="18"/>
                <w:szCs w:val="18"/>
              </w:rPr>
              <w:t>η2</w:t>
            </w:r>
            <w:r w:rsidRPr="008253C4">
              <w:rPr>
                <w:b/>
                <w:bCs/>
                <w:color w:val="000000"/>
                <w:sz w:val="18"/>
                <w:szCs w:val="18"/>
              </w:rPr>
              <w:t xml:space="preserve"> = 0.10</w:t>
            </w:r>
          </w:p>
        </w:tc>
        <w:tc>
          <w:tcPr>
            <w:tcW w:w="1276" w:type="dxa"/>
            <w:vMerge w:val="restart"/>
            <w:tcBorders>
              <w:top w:val="nil"/>
              <w:left w:val="nil"/>
              <w:bottom w:val="nil"/>
              <w:right w:val="nil"/>
            </w:tcBorders>
            <w:shd w:val="clear" w:color="auto" w:fill="auto"/>
            <w:hideMark/>
          </w:tcPr>
          <w:p w14:paraId="6B4C4B7B"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153) = 2.07,</w:t>
            </w:r>
            <w:r w:rsidRPr="008253C4">
              <w:rPr>
                <w:color w:val="000000"/>
                <w:sz w:val="18"/>
                <w:szCs w:val="18"/>
              </w:rPr>
              <w:br/>
            </w:r>
            <w:r w:rsidRPr="008253C4">
              <w:rPr>
                <w:i/>
                <w:iCs/>
                <w:color w:val="000000"/>
                <w:sz w:val="18"/>
                <w:szCs w:val="18"/>
              </w:rPr>
              <w:t>p</w:t>
            </w:r>
            <w:r w:rsidRPr="008253C4">
              <w:rPr>
                <w:color w:val="000000"/>
                <w:sz w:val="18"/>
                <w:szCs w:val="18"/>
              </w:rPr>
              <w:t xml:space="preserve"> = .152, </w:t>
            </w:r>
            <w:r w:rsidRPr="008253C4">
              <w:rPr>
                <w:i/>
                <w:iCs/>
                <w:color w:val="000000"/>
                <w:sz w:val="18"/>
                <w:szCs w:val="18"/>
              </w:rPr>
              <w:t>η2</w:t>
            </w:r>
            <w:r w:rsidRPr="008253C4">
              <w:rPr>
                <w:color w:val="000000"/>
                <w:sz w:val="18"/>
                <w:szCs w:val="18"/>
              </w:rPr>
              <w:t xml:space="preserve"> = 0.01</w:t>
            </w:r>
          </w:p>
        </w:tc>
        <w:tc>
          <w:tcPr>
            <w:tcW w:w="1275" w:type="dxa"/>
            <w:vMerge w:val="restart"/>
            <w:tcBorders>
              <w:top w:val="nil"/>
              <w:left w:val="nil"/>
              <w:bottom w:val="nil"/>
              <w:right w:val="nil"/>
            </w:tcBorders>
            <w:shd w:val="clear" w:color="auto" w:fill="auto"/>
            <w:hideMark/>
          </w:tcPr>
          <w:p w14:paraId="68F8A26B"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153)=0.39,</w:t>
            </w:r>
            <w:r w:rsidRPr="008253C4">
              <w:rPr>
                <w:color w:val="000000"/>
                <w:sz w:val="18"/>
                <w:szCs w:val="18"/>
              </w:rPr>
              <w:br/>
            </w:r>
            <w:r w:rsidRPr="008253C4">
              <w:rPr>
                <w:i/>
                <w:iCs/>
                <w:color w:val="000000"/>
                <w:sz w:val="18"/>
                <w:szCs w:val="18"/>
              </w:rPr>
              <w:t>p</w:t>
            </w:r>
            <w:r w:rsidRPr="008253C4">
              <w:rPr>
                <w:color w:val="000000"/>
                <w:sz w:val="18"/>
                <w:szCs w:val="18"/>
              </w:rPr>
              <w:t xml:space="preserve"> = .761, </w:t>
            </w:r>
            <w:r w:rsidRPr="008253C4">
              <w:rPr>
                <w:i/>
                <w:iCs/>
                <w:color w:val="000000"/>
                <w:sz w:val="18"/>
                <w:szCs w:val="18"/>
              </w:rPr>
              <w:t>η2</w:t>
            </w:r>
            <w:r w:rsidRPr="008253C4">
              <w:rPr>
                <w:color w:val="000000"/>
                <w:sz w:val="18"/>
                <w:szCs w:val="18"/>
              </w:rPr>
              <w:t xml:space="preserve"> = 0.01</w:t>
            </w:r>
          </w:p>
        </w:tc>
      </w:tr>
      <w:tr w:rsidR="00F129F7" w:rsidRPr="00F129F7" w14:paraId="20F2363B" w14:textId="77777777" w:rsidTr="009378CB">
        <w:trPr>
          <w:trHeight w:val="320"/>
        </w:trPr>
        <w:tc>
          <w:tcPr>
            <w:tcW w:w="281" w:type="dxa"/>
            <w:tcBorders>
              <w:top w:val="nil"/>
              <w:left w:val="nil"/>
              <w:bottom w:val="nil"/>
              <w:right w:val="nil"/>
            </w:tcBorders>
            <w:shd w:val="clear" w:color="auto" w:fill="auto"/>
            <w:noWrap/>
            <w:hideMark/>
          </w:tcPr>
          <w:p w14:paraId="1CC32194"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04EBDDCC"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67A882F8"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46B55636" w14:textId="77777777" w:rsidR="00F129F7" w:rsidRPr="008253C4" w:rsidRDefault="00F129F7" w:rsidP="008253C4">
            <w:pPr>
              <w:jc w:val="center"/>
              <w:rPr>
                <w:color w:val="000000"/>
                <w:sz w:val="18"/>
                <w:szCs w:val="18"/>
              </w:rPr>
            </w:pPr>
            <w:r w:rsidRPr="008253C4">
              <w:rPr>
                <w:color w:val="000000"/>
                <w:sz w:val="18"/>
                <w:szCs w:val="18"/>
              </w:rPr>
              <w:t>2.94 (0.39)</w:t>
            </w:r>
          </w:p>
        </w:tc>
        <w:tc>
          <w:tcPr>
            <w:tcW w:w="1418" w:type="dxa"/>
            <w:tcBorders>
              <w:top w:val="nil"/>
              <w:left w:val="nil"/>
              <w:bottom w:val="nil"/>
              <w:right w:val="nil"/>
            </w:tcBorders>
            <w:shd w:val="clear" w:color="auto" w:fill="auto"/>
            <w:noWrap/>
            <w:hideMark/>
          </w:tcPr>
          <w:p w14:paraId="35B92198" w14:textId="77777777" w:rsidR="00F129F7" w:rsidRPr="008253C4" w:rsidRDefault="00F129F7" w:rsidP="008253C4">
            <w:pPr>
              <w:jc w:val="center"/>
              <w:rPr>
                <w:color w:val="000000"/>
                <w:sz w:val="18"/>
                <w:szCs w:val="18"/>
              </w:rPr>
            </w:pPr>
            <w:r w:rsidRPr="008253C4">
              <w:rPr>
                <w:color w:val="000000"/>
                <w:sz w:val="18"/>
                <w:szCs w:val="18"/>
              </w:rPr>
              <w:t>2.61 (0.45)</w:t>
            </w:r>
          </w:p>
        </w:tc>
        <w:tc>
          <w:tcPr>
            <w:tcW w:w="1417" w:type="dxa"/>
            <w:tcBorders>
              <w:top w:val="nil"/>
              <w:left w:val="nil"/>
              <w:bottom w:val="nil"/>
              <w:right w:val="nil"/>
            </w:tcBorders>
            <w:shd w:val="clear" w:color="auto" w:fill="auto"/>
            <w:noWrap/>
            <w:hideMark/>
          </w:tcPr>
          <w:p w14:paraId="1A4AA51B" w14:textId="77777777" w:rsidR="00F129F7" w:rsidRPr="008253C4" w:rsidRDefault="00F129F7" w:rsidP="008253C4">
            <w:pPr>
              <w:jc w:val="center"/>
              <w:rPr>
                <w:color w:val="000000"/>
                <w:sz w:val="18"/>
                <w:szCs w:val="18"/>
              </w:rPr>
            </w:pPr>
            <w:r w:rsidRPr="008253C4">
              <w:rPr>
                <w:color w:val="000000"/>
                <w:sz w:val="18"/>
                <w:szCs w:val="18"/>
              </w:rPr>
              <w:t>2.93 (0.44)</w:t>
            </w:r>
          </w:p>
        </w:tc>
        <w:tc>
          <w:tcPr>
            <w:tcW w:w="1418" w:type="dxa"/>
            <w:tcBorders>
              <w:top w:val="nil"/>
              <w:left w:val="nil"/>
              <w:bottom w:val="nil"/>
              <w:right w:val="nil"/>
            </w:tcBorders>
            <w:shd w:val="clear" w:color="auto" w:fill="auto"/>
            <w:noWrap/>
            <w:hideMark/>
          </w:tcPr>
          <w:p w14:paraId="3CACAAF7" w14:textId="77777777" w:rsidR="00F129F7" w:rsidRPr="008253C4" w:rsidRDefault="00F129F7" w:rsidP="008253C4">
            <w:pPr>
              <w:jc w:val="center"/>
              <w:rPr>
                <w:color w:val="000000"/>
                <w:sz w:val="18"/>
                <w:szCs w:val="18"/>
              </w:rPr>
            </w:pPr>
            <w:r w:rsidRPr="008253C4">
              <w:rPr>
                <w:color w:val="000000"/>
                <w:sz w:val="18"/>
                <w:szCs w:val="18"/>
              </w:rPr>
              <w:t>3.04 (0.54)</w:t>
            </w:r>
          </w:p>
        </w:tc>
        <w:tc>
          <w:tcPr>
            <w:tcW w:w="283" w:type="dxa"/>
            <w:tcBorders>
              <w:top w:val="nil"/>
              <w:left w:val="nil"/>
              <w:bottom w:val="nil"/>
              <w:right w:val="nil"/>
            </w:tcBorders>
            <w:shd w:val="clear" w:color="auto" w:fill="auto"/>
            <w:noWrap/>
            <w:hideMark/>
          </w:tcPr>
          <w:p w14:paraId="47279B60"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55807CF4"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3D4676A1"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5341DE19" w14:textId="77777777" w:rsidR="00F129F7" w:rsidRPr="008253C4" w:rsidRDefault="00F129F7" w:rsidP="008253C4">
            <w:pPr>
              <w:rPr>
                <w:color w:val="000000"/>
                <w:sz w:val="18"/>
                <w:szCs w:val="18"/>
              </w:rPr>
            </w:pPr>
          </w:p>
        </w:tc>
      </w:tr>
      <w:tr w:rsidR="00F129F7" w:rsidRPr="00F129F7" w14:paraId="2BD677A9" w14:textId="77777777" w:rsidTr="009378CB">
        <w:trPr>
          <w:trHeight w:val="320"/>
        </w:trPr>
        <w:tc>
          <w:tcPr>
            <w:tcW w:w="281" w:type="dxa"/>
            <w:tcBorders>
              <w:top w:val="nil"/>
              <w:left w:val="nil"/>
              <w:bottom w:val="nil"/>
              <w:right w:val="nil"/>
            </w:tcBorders>
            <w:shd w:val="clear" w:color="auto" w:fill="auto"/>
            <w:noWrap/>
            <w:hideMark/>
          </w:tcPr>
          <w:p w14:paraId="07174469"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22A834DB" w14:textId="77777777" w:rsidR="00F129F7" w:rsidRPr="008253C4" w:rsidRDefault="00F129F7" w:rsidP="008253C4">
            <w:pPr>
              <w:rPr>
                <w:color w:val="000000"/>
                <w:sz w:val="18"/>
                <w:szCs w:val="18"/>
              </w:rPr>
            </w:pPr>
            <w:r w:rsidRPr="008253C4">
              <w:rPr>
                <w:color w:val="000000"/>
                <w:sz w:val="18"/>
                <w:szCs w:val="18"/>
              </w:rPr>
              <w:t>Medication adherence (MARS-5)</w:t>
            </w:r>
          </w:p>
        </w:tc>
        <w:tc>
          <w:tcPr>
            <w:tcW w:w="1418" w:type="dxa"/>
            <w:tcBorders>
              <w:top w:val="nil"/>
              <w:left w:val="nil"/>
              <w:bottom w:val="nil"/>
              <w:right w:val="nil"/>
            </w:tcBorders>
            <w:shd w:val="clear" w:color="auto" w:fill="auto"/>
            <w:noWrap/>
            <w:hideMark/>
          </w:tcPr>
          <w:p w14:paraId="2A007EB1"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70090A90"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25E73458"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31CFDB87"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hideMark/>
          </w:tcPr>
          <w:p w14:paraId="0E258F6E"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hideMark/>
          </w:tcPr>
          <w:p w14:paraId="51FC2A14"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hideMark/>
          </w:tcPr>
          <w:p w14:paraId="51E7272B" w14:textId="77777777" w:rsidR="00F129F7" w:rsidRPr="008253C4" w:rsidRDefault="00F129F7" w:rsidP="008253C4">
            <w:pPr>
              <w:jc w:val="center"/>
              <w:rPr>
                <w:sz w:val="18"/>
                <w:szCs w:val="18"/>
              </w:rPr>
            </w:pPr>
          </w:p>
        </w:tc>
      </w:tr>
      <w:tr w:rsidR="00F129F7" w:rsidRPr="00F129F7" w14:paraId="65EF4D94" w14:textId="77777777" w:rsidTr="009378CB">
        <w:trPr>
          <w:trHeight w:val="320"/>
        </w:trPr>
        <w:tc>
          <w:tcPr>
            <w:tcW w:w="281" w:type="dxa"/>
            <w:tcBorders>
              <w:top w:val="nil"/>
              <w:left w:val="nil"/>
              <w:bottom w:val="nil"/>
              <w:right w:val="nil"/>
            </w:tcBorders>
            <w:shd w:val="clear" w:color="auto" w:fill="auto"/>
            <w:noWrap/>
            <w:hideMark/>
          </w:tcPr>
          <w:p w14:paraId="5DB95C78" w14:textId="77777777" w:rsidR="00F129F7" w:rsidRPr="008253C4" w:rsidRDefault="00F129F7" w:rsidP="008253C4">
            <w:pPr>
              <w:jc w:val="center"/>
              <w:rPr>
                <w:sz w:val="18"/>
                <w:szCs w:val="18"/>
              </w:rPr>
            </w:pPr>
          </w:p>
        </w:tc>
        <w:tc>
          <w:tcPr>
            <w:tcW w:w="284" w:type="dxa"/>
            <w:tcBorders>
              <w:top w:val="nil"/>
              <w:left w:val="nil"/>
              <w:bottom w:val="nil"/>
              <w:right w:val="nil"/>
            </w:tcBorders>
            <w:shd w:val="clear" w:color="auto" w:fill="auto"/>
            <w:noWrap/>
            <w:hideMark/>
          </w:tcPr>
          <w:p w14:paraId="2B1D4BC6"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1DF0BF27"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37E1F4F0" w14:textId="77777777" w:rsidR="00F129F7" w:rsidRPr="008253C4" w:rsidRDefault="00F129F7" w:rsidP="008253C4">
            <w:pPr>
              <w:jc w:val="center"/>
              <w:rPr>
                <w:color w:val="000000"/>
                <w:sz w:val="18"/>
                <w:szCs w:val="18"/>
              </w:rPr>
            </w:pPr>
            <w:r w:rsidRPr="008253C4">
              <w:rPr>
                <w:color w:val="000000"/>
                <w:sz w:val="18"/>
                <w:szCs w:val="18"/>
              </w:rPr>
              <w:t>3.42 (0.78)</w:t>
            </w:r>
          </w:p>
        </w:tc>
        <w:tc>
          <w:tcPr>
            <w:tcW w:w="1418" w:type="dxa"/>
            <w:tcBorders>
              <w:top w:val="nil"/>
              <w:left w:val="nil"/>
              <w:bottom w:val="nil"/>
              <w:right w:val="nil"/>
            </w:tcBorders>
            <w:shd w:val="clear" w:color="auto" w:fill="auto"/>
            <w:noWrap/>
            <w:hideMark/>
          </w:tcPr>
          <w:p w14:paraId="727E76BF" w14:textId="77777777" w:rsidR="00F129F7" w:rsidRPr="008253C4" w:rsidRDefault="00F129F7" w:rsidP="008253C4">
            <w:pPr>
              <w:jc w:val="center"/>
              <w:rPr>
                <w:color w:val="000000"/>
                <w:sz w:val="18"/>
                <w:szCs w:val="18"/>
              </w:rPr>
            </w:pPr>
            <w:r w:rsidRPr="008253C4">
              <w:rPr>
                <w:color w:val="000000"/>
                <w:sz w:val="18"/>
                <w:szCs w:val="18"/>
              </w:rPr>
              <w:t>2.94 (0.68)</w:t>
            </w:r>
          </w:p>
        </w:tc>
        <w:tc>
          <w:tcPr>
            <w:tcW w:w="1417" w:type="dxa"/>
            <w:tcBorders>
              <w:top w:val="nil"/>
              <w:left w:val="nil"/>
              <w:bottom w:val="nil"/>
              <w:right w:val="nil"/>
            </w:tcBorders>
            <w:shd w:val="clear" w:color="auto" w:fill="auto"/>
            <w:noWrap/>
            <w:hideMark/>
          </w:tcPr>
          <w:p w14:paraId="789E7C3D" w14:textId="77777777" w:rsidR="00F129F7" w:rsidRPr="008253C4" w:rsidRDefault="00F129F7" w:rsidP="008253C4">
            <w:pPr>
              <w:jc w:val="center"/>
              <w:rPr>
                <w:color w:val="000000"/>
                <w:sz w:val="18"/>
                <w:szCs w:val="18"/>
              </w:rPr>
            </w:pPr>
            <w:r w:rsidRPr="008253C4">
              <w:rPr>
                <w:color w:val="000000"/>
                <w:sz w:val="18"/>
                <w:szCs w:val="18"/>
              </w:rPr>
              <w:t>3.51 (0.82)</w:t>
            </w:r>
          </w:p>
        </w:tc>
        <w:tc>
          <w:tcPr>
            <w:tcW w:w="1418" w:type="dxa"/>
            <w:tcBorders>
              <w:top w:val="nil"/>
              <w:left w:val="nil"/>
              <w:bottom w:val="nil"/>
              <w:right w:val="nil"/>
            </w:tcBorders>
            <w:shd w:val="clear" w:color="auto" w:fill="auto"/>
            <w:noWrap/>
            <w:hideMark/>
          </w:tcPr>
          <w:p w14:paraId="73111DED" w14:textId="77777777" w:rsidR="00F129F7" w:rsidRPr="008253C4" w:rsidRDefault="00F129F7" w:rsidP="008253C4">
            <w:pPr>
              <w:jc w:val="center"/>
              <w:rPr>
                <w:color w:val="000000"/>
                <w:sz w:val="18"/>
                <w:szCs w:val="18"/>
              </w:rPr>
            </w:pPr>
            <w:r w:rsidRPr="008253C4">
              <w:rPr>
                <w:color w:val="000000"/>
                <w:sz w:val="18"/>
                <w:szCs w:val="18"/>
              </w:rPr>
              <w:t>3.54 (0.91)</w:t>
            </w:r>
          </w:p>
        </w:tc>
        <w:tc>
          <w:tcPr>
            <w:tcW w:w="283" w:type="dxa"/>
            <w:tcBorders>
              <w:top w:val="nil"/>
              <w:left w:val="nil"/>
              <w:bottom w:val="nil"/>
              <w:right w:val="nil"/>
            </w:tcBorders>
            <w:shd w:val="clear" w:color="auto" w:fill="auto"/>
            <w:noWrap/>
            <w:hideMark/>
          </w:tcPr>
          <w:p w14:paraId="72B61158"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4DC44DBC"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155) = 3.53,</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.016, </w:t>
            </w:r>
            <w:r w:rsidRPr="008253C4">
              <w:rPr>
                <w:b/>
                <w:bCs/>
                <w:i/>
                <w:iCs/>
                <w:color w:val="000000"/>
                <w:sz w:val="18"/>
                <w:szCs w:val="18"/>
              </w:rPr>
              <w:t>η2</w:t>
            </w:r>
            <w:r w:rsidRPr="008253C4">
              <w:rPr>
                <w:b/>
                <w:bCs/>
                <w:color w:val="000000"/>
                <w:sz w:val="18"/>
                <w:szCs w:val="18"/>
              </w:rPr>
              <w:t xml:space="preserve"> = 0.06</w:t>
            </w:r>
          </w:p>
        </w:tc>
        <w:tc>
          <w:tcPr>
            <w:tcW w:w="1276" w:type="dxa"/>
            <w:vMerge w:val="restart"/>
            <w:tcBorders>
              <w:top w:val="nil"/>
              <w:left w:val="nil"/>
              <w:bottom w:val="nil"/>
              <w:right w:val="nil"/>
            </w:tcBorders>
            <w:shd w:val="clear" w:color="auto" w:fill="auto"/>
            <w:hideMark/>
          </w:tcPr>
          <w:p w14:paraId="7EE70D5E"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155) = 0.71,</w:t>
            </w:r>
            <w:r w:rsidRPr="008253C4">
              <w:rPr>
                <w:color w:val="000000"/>
                <w:sz w:val="18"/>
                <w:szCs w:val="18"/>
              </w:rPr>
              <w:br/>
            </w:r>
            <w:r w:rsidRPr="008253C4">
              <w:rPr>
                <w:i/>
                <w:iCs/>
                <w:color w:val="000000"/>
                <w:sz w:val="18"/>
                <w:szCs w:val="18"/>
              </w:rPr>
              <w:t>p</w:t>
            </w:r>
            <w:r w:rsidRPr="008253C4">
              <w:rPr>
                <w:color w:val="000000"/>
                <w:sz w:val="18"/>
                <w:szCs w:val="18"/>
              </w:rPr>
              <w:t xml:space="preserve"> = .401, </w:t>
            </w:r>
            <w:r w:rsidRPr="008253C4">
              <w:rPr>
                <w:i/>
                <w:iCs/>
                <w:color w:val="000000"/>
                <w:sz w:val="18"/>
                <w:szCs w:val="18"/>
              </w:rPr>
              <w:t>η2</w:t>
            </w:r>
            <w:r w:rsidRPr="008253C4">
              <w:rPr>
                <w:color w:val="000000"/>
                <w:sz w:val="18"/>
                <w:szCs w:val="18"/>
              </w:rPr>
              <w:t xml:space="preserve"> = 0.01</w:t>
            </w:r>
          </w:p>
        </w:tc>
        <w:tc>
          <w:tcPr>
            <w:tcW w:w="1275" w:type="dxa"/>
            <w:vMerge w:val="restart"/>
            <w:tcBorders>
              <w:top w:val="nil"/>
              <w:left w:val="nil"/>
              <w:bottom w:val="nil"/>
              <w:right w:val="nil"/>
            </w:tcBorders>
            <w:shd w:val="clear" w:color="auto" w:fill="auto"/>
            <w:hideMark/>
          </w:tcPr>
          <w:p w14:paraId="00F8DAD2"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155) = 0.62,</w:t>
            </w:r>
            <w:r w:rsidRPr="008253C4">
              <w:rPr>
                <w:color w:val="000000"/>
                <w:sz w:val="18"/>
                <w:szCs w:val="18"/>
              </w:rPr>
              <w:br/>
            </w:r>
            <w:r w:rsidRPr="008253C4">
              <w:rPr>
                <w:i/>
                <w:iCs/>
                <w:color w:val="000000"/>
                <w:sz w:val="18"/>
                <w:szCs w:val="18"/>
              </w:rPr>
              <w:t>p</w:t>
            </w:r>
            <w:r w:rsidRPr="008253C4">
              <w:rPr>
                <w:color w:val="000000"/>
                <w:sz w:val="18"/>
                <w:szCs w:val="18"/>
              </w:rPr>
              <w:t xml:space="preserve"> = .601, </w:t>
            </w:r>
            <w:r w:rsidRPr="008253C4">
              <w:rPr>
                <w:i/>
                <w:iCs/>
                <w:color w:val="000000"/>
                <w:sz w:val="18"/>
                <w:szCs w:val="18"/>
              </w:rPr>
              <w:t>η2</w:t>
            </w:r>
            <w:r w:rsidRPr="008253C4">
              <w:rPr>
                <w:color w:val="000000"/>
                <w:sz w:val="18"/>
                <w:szCs w:val="18"/>
              </w:rPr>
              <w:t xml:space="preserve"> = 0.01</w:t>
            </w:r>
          </w:p>
        </w:tc>
      </w:tr>
      <w:tr w:rsidR="00F129F7" w:rsidRPr="00F129F7" w14:paraId="197751A3" w14:textId="77777777" w:rsidTr="009378CB">
        <w:trPr>
          <w:trHeight w:val="320"/>
        </w:trPr>
        <w:tc>
          <w:tcPr>
            <w:tcW w:w="281" w:type="dxa"/>
            <w:tcBorders>
              <w:top w:val="nil"/>
              <w:left w:val="nil"/>
              <w:bottom w:val="nil"/>
              <w:right w:val="nil"/>
            </w:tcBorders>
            <w:shd w:val="clear" w:color="auto" w:fill="auto"/>
            <w:noWrap/>
            <w:hideMark/>
          </w:tcPr>
          <w:p w14:paraId="288015D0"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54D192D8"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06FB50D9"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72594947" w14:textId="77777777" w:rsidR="00F129F7" w:rsidRPr="008253C4" w:rsidRDefault="00F129F7" w:rsidP="008253C4">
            <w:pPr>
              <w:jc w:val="center"/>
              <w:rPr>
                <w:color w:val="000000"/>
                <w:sz w:val="18"/>
                <w:szCs w:val="18"/>
              </w:rPr>
            </w:pPr>
            <w:r w:rsidRPr="008253C4">
              <w:rPr>
                <w:color w:val="000000"/>
                <w:sz w:val="18"/>
                <w:szCs w:val="18"/>
              </w:rPr>
              <w:t>3.46 (0.78)</w:t>
            </w:r>
          </w:p>
        </w:tc>
        <w:tc>
          <w:tcPr>
            <w:tcW w:w="1418" w:type="dxa"/>
            <w:tcBorders>
              <w:top w:val="nil"/>
              <w:left w:val="nil"/>
              <w:bottom w:val="nil"/>
              <w:right w:val="nil"/>
            </w:tcBorders>
            <w:shd w:val="clear" w:color="auto" w:fill="auto"/>
            <w:noWrap/>
            <w:hideMark/>
          </w:tcPr>
          <w:p w14:paraId="665D2EB0" w14:textId="77777777" w:rsidR="00F129F7" w:rsidRPr="008253C4" w:rsidRDefault="00F129F7" w:rsidP="008253C4">
            <w:pPr>
              <w:jc w:val="center"/>
              <w:rPr>
                <w:color w:val="000000"/>
                <w:sz w:val="18"/>
                <w:szCs w:val="18"/>
              </w:rPr>
            </w:pPr>
            <w:r w:rsidRPr="008253C4">
              <w:rPr>
                <w:color w:val="000000"/>
                <w:sz w:val="18"/>
                <w:szCs w:val="18"/>
              </w:rPr>
              <w:t>2.72 (0.76)</w:t>
            </w:r>
          </w:p>
        </w:tc>
        <w:tc>
          <w:tcPr>
            <w:tcW w:w="1417" w:type="dxa"/>
            <w:tcBorders>
              <w:top w:val="nil"/>
              <w:left w:val="nil"/>
              <w:bottom w:val="nil"/>
              <w:right w:val="nil"/>
            </w:tcBorders>
            <w:shd w:val="clear" w:color="auto" w:fill="auto"/>
            <w:noWrap/>
            <w:hideMark/>
          </w:tcPr>
          <w:p w14:paraId="1FD5068F" w14:textId="77777777" w:rsidR="00F129F7" w:rsidRPr="008253C4" w:rsidRDefault="00F129F7" w:rsidP="008253C4">
            <w:pPr>
              <w:jc w:val="center"/>
              <w:rPr>
                <w:color w:val="000000"/>
                <w:sz w:val="18"/>
                <w:szCs w:val="18"/>
              </w:rPr>
            </w:pPr>
            <w:r w:rsidRPr="008253C4">
              <w:rPr>
                <w:color w:val="000000"/>
                <w:sz w:val="18"/>
                <w:szCs w:val="18"/>
              </w:rPr>
              <w:t>3.43 (0.88)</w:t>
            </w:r>
          </w:p>
        </w:tc>
        <w:tc>
          <w:tcPr>
            <w:tcW w:w="1418" w:type="dxa"/>
            <w:tcBorders>
              <w:top w:val="nil"/>
              <w:left w:val="nil"/>
              <w:bottom w:val="nil"/>
              <w:right w:val="nil"/>
            </w:tcBorders>
            <w:shd w:val="clear" w:color="auto" w:fill="auto"/>
            <w:noWrap/>
            <w:hideMark/>
          </w:tcPr>
          <w:p w14:paraId="4A694FA6" w14:textId="77777777" w:rsidR="00F129F7" w:rsidRPr="008253C4" w:rsidRDefault="00F129F7" w:rsidP="008253C4">
            <w:pPr>
              <w:jc w:val="center"/>
              <w:rPr>
                <w:color w:val="000000"/>
                <w:sz w:val="18"/>
                <w:szCs w:val="18"/>
              </w:rPr>
            </w:pPr>
            <w:r w:rsidRPr="008253C4">
              <w:rPr>
                <w:color w:val="000000"/>
                <w:sz w:val="18"/>
                <w:szCs w:val="18"/>
              </w:rPr>
              <w:t>3.56 (0.68)</w:t>
            </w:r>
          </w:p>
        </w:tc>
        <w:tc>
          <w:tcPr>
            <w:tcW w:w="283" w:type="dxa"/>
            <w:tcBorders>
              <w:top w:val="nil"/>
              <w:left w:val="nil"/>
              <w:bottom w:val="nil"/>
              <w:right w:val="nil"/>
            </w:tcBorders>
            <w:shd w:val="clear" w:color="auto" w:fill="auto"/>
            <w:noWrap/>
            <w:hideMark/>
          </w:tcPr>
          <w:p w14:paraId="452179E2"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304DA021"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2D04E157"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2F4587CB" w14:textId="77777777" w:rsidR="00F129F7" w:rsidRPr="008253C4" w:rsidRDefault="00F129F7" w:rsidP="008253C4">
            <w:pPr>
              <w:rPr>
                <w:color w:val="000000"/>
                <w:sz w:val="18"/>
                <w:szCs w:val="18"/>
              </w:rPr>
            </w:pPr>
          </w:p>
        </w:tc>
      </w:tr>
      <w:tr w:rsidR="00F129F7" w:rsidRPr="00F129F7" w14:paraId="1CD343E1" w14:textId="77777777" w:rsidTr="009378CB">
        <w:trPr>
          <w:trHeight w:val="320"/>
        </w:trPr>
        <w:tc>
          <w:tcPr>
            <w:tcW w:w="281" w:type="dxa"/>
            <w:tcBorders>
              <w:top w:val="nil"/>
              <w:left w:val="nil"/>
              <w:bottom w:val="nil"/>
              <w:right w:val="nil"/>
            </w:tcBorders>
            <w:shd w:val="clear" w:color="auto" w:fill="auto"/>
            <w:noWrap/>
            <w:hideMark/>
          </w:tcPr>
          <w:p w14:paraId="11839A5B" w14:textId="77777777" w:rsidR="00F129F7" w:rsidRPr="008253C4" w:rsidRDefault="00F129F7" w:rsidP="008253C4">
            <w:pPr>
              <w:jc w:val="center"/>
              <w:rPr>
                <w:sz w:val="18"/>
                <w:szCs w:val="18"/>
              </w:rPr>
            </w:pPr>
          </w:p>
        </w:tc>
        <w:tc>
          <w:tcPr>
            <w:tcW w:w="1279" w:type="dxa"/>
            <w:gridSpan w:val="2"/>
            <w:tcBorders>
              <w:top w:val="nil"/>
              <w:left w:val="nil"/>
              <w:bottom w:val="nil"/>
              <w:right w:val="nil"/>
            </w:tcBorders>
            <w:shd w:val="clear" w:color="auto" w:fill="auto"/>
            <w:noWrap/>
            <w:hideMark/>
          </w:tcPr>
          <w:p w14:paraId="00C55B1F" w14:textId="77777777" w:rsidR="00F129F7" w:rsidRPr="008253C4" w:rsidRDefault="00F129F7" w:rsidP="008253C4">
            <w:pPr>
              <w:rPr>
                <w:color w:val="000000"/>
                <w:sz w:val="18"/>
                <w:szCs w:val="18"/>
              </w:rPr>
            </w:pPr>
            <w:r w:rsidRPr="008253C4">
              <w:rPr>
                <w:color w:val="000000"/>
                <w:sz w:val="18"/>
                <w:szCs w:val="18"/>
              </w:rPr>
              <w:t>RABQ-total</w:t>
            </w:r>
          </w:p>
        </w:tc>
        <w:tc>
          <w:tcPr>
            <w:tcW w:w="1417" w:type="dxa"/>
            <w:tcBorders>
              <w:top w:val="nil"/>
              <w:left w:val="nil"/>
              <w:bottom w:val="nil"/>
              <w:right w:val="nil"/>
            </w:tcBorders>
            <w:shd w:val="clear" w:color="auto" w:fill="auto"/>
            <w:noWrap/>
            <w:hideMark/>
          </w:tcPr>
          <w:p w14:paraId="2E45615F" w14:textId="77777777" w:rsidR="00F129F7" w:rsidRPr="008253C4" w:rsidRDefault="00F129F7" w:rsidP="008253C4">
            <w:pPr>
              <w:rPr>
                <w:color w:val="000000"/>
                <w:sz w:val="18"/>
                <w:szCs w:val="18"/>
              </w:rPr>
            </w:pPr>
          </w:p>
        </w:tc>
        <w:tc>
          <w:tcPr>
            <w:tcW w:w="1418" w:type="dxa"/>
            <w:tcBorders>
              <w:top w:val="nil"/>
              <w:left w:val="nil"/>
              <w:bottom w:val="nil"/>
              <w:right w:val="nil"/>
            </w:tcBorders>
            <w:shd w:val="clear" w:color="auto" w:fill="auto"/>
            <w:noWrap/>
            <w:hideMark/>
          </w:tcPr>
          <w:p w14:paraId="36B53A54" w14:textId="77777777" w:rsidR="00F129F7" w:rsidRPr="008253C4" w:rsidRDefault="00F129F7" w:rsidP="008253C4">
            <w:pPr>
              <w:jc w:val="center"/>
              <w:rPr>
                <w:sz w:val="18"/>
                <w:szCs w:val="18"/>
              </w:rPr>
            </w:pPr>
          </w:p>
        </w:tc>
        <w:tc>
          <w:tcPr>
            <w:tcW w:w="1417" w:type="dxa"/>
            <w:tcBorders>
              <w:top w:val="nil"/>
              <w:left w:val="nil"/>
              <w:bottom w:val="nil"/>
              <w:right w:val="nil"/>
            </w:tcBorders>
            <w:shd w:val="clear" w:color="auto" w:fill="auto"/>
            <w:noWrap/>
            <w:hideMark/>
          </w:tcPr>
          <w:p w14:paraId="618B6C10"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3CBD852B"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4DAA96EA"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246C761C" w14:textId="77777777" w:rsidR="00F129F7" w:rsidRPr="008253C4" w:rsidRDefault="00F129F7" w:rsidP="008253C4">
            <w:pPr>
              <w:jc w:val="center"/>
              <w:rPr>
                <w:sz w:val="18"/>
                <w:szCs w:val="18"/>
              </w:rPr>
            </w:pPr>
          </w:p>
        </w:tc>
        <w:tc>
          <w:tcPr>
            <w:tcW w:w="1276" w:type="dxa"/>
            <w:tcBorders>
              <w:top w:val="nil"/>
              <w:left w:val="nil"/>
              <w:bottom w:val="nil"/>
              <w:right w:val="nil"/>
            </w:tcBorders>
            <w:shd w:val="clear" w:color="auto" w:fill="auto"/>
            <w:noWrap/>
            <w:hideMark/>
          </w:tcPr>
          <w:p w14:paraId="6FFBE79C" w14:textId="77777777" w:rsidR="00F129F7" w:rsidRPr="008253C4" w:rsidRDefault="00F129F7" w:rsidP="008253C4">
            <w:pPr>
              <w:jc w:val="center"/>
              <w:rPr>
                <w:sz w:val="18"/>
                <w:szCs w:val="18"/>
              </w:rPr>
            </w:pPr>
          </w:p>
        </w:tc>
        <w:tc>
          <w:tcPr>
            <w:tcW w:w="1275" w:type="dxa"/>
            <w:tcBorders>
              <w:top w:val="nil"/>
              <w:left w:val="nil"/>
              <w:bottom w:val="nil"/>
              <w:right w:val="nil"/>
            </w:tcBorders>
            <w:shd w:val="clear" w:color="auto" w:fill="auto"/>
            <w:noWrap/>
            <w:hideMark/>
          </w:tcPr>
          <w:p w14:paraId="2DF14AE7" w14:textId="77777777" w:rsidR="00F129F7" w:rsidRPr="008253C4" w:rsidRDefault="00F129F7" w:rsidP="008253C4">
            <w:pPr>
              <w:jc w:val="center"/>
              <w:rPr>
                <w:sz w:val="18"/>
                <w:szCs w:val="18"/>
              </w:rPr>
            </w:pPr>
          </w:p>
        </w:tc>
      </w:tr>
      <w:tr w:rsidR="00F129F7" w:rsidRPr="00F129F7" w14:paraId="775033B1" w14:textId="77777777" w:rsidTr="009378CB">
        <w:trPr>
          <w:trHeight w:val="320"/>
        </w:trPr>
        <w:tc>
          <w:tcPr>
            <w:tcW w:w="281" w:type="dxa"/>
            <w:tcBorders>
              <w:top w:val="nil"/>
              <w:left w:val="nil"/>
              <w:bottom w:val="nil"/>
              <w:right w:val="nil"/>
            </w:tcBorders>
            <w:shd w:val="clear" w:color="auto" w:fill="auto"/>
            <w:noWrap/>
            <w:hideMark/>
          </w:tcPr>
          <w:p w14:paraId="6FDFDEE9"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7A77781E"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54481141"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6BCADC47" w14:textId="77777777" w:rsidR="00F129F7" w:rsidRPr="008253C4" w:rsidRDefault="00F129F7" w:rsidP="008253C4">
            <w:pPr>
              <w:jc w:val="center"/>
              <w:rPr>
                <w:color w:val="000000"/>
                <w:sz w:val="18"/>
                <w:szCs w:val="18"/>
              </w:rPr>
            </w:pPr>
            <w:r w:rsidRPr="008253C4">
              <w:rPr>
                <w:color w:val="000000"/>
                <w:sz w:val="18"/>
                <w:szCs w:val="18"/>
              </w:rPr>
              <w:t>91.15 (12.62)</w:t>
            </w:r>
          </w:p>
        </w:tc>
        <w:tc>
          <w:tcPr>
            <w:tcW w:w="1418" w:type="dxa"/>
            <w:tcBorders>
              <w:top w:val="nil"/>
              <w:left w:val="nil"/>
              <w:bottom w:val="nil"/>
              <w:right w:val="nil"/>
            </w:tcBorders>
            <w:shd w:val="clear" w:color="auto" w:fill="auto"/>
            <w:noWrap/>
            <w:hideMark/>
          </w:tcPr>
          <w:p w14:paraId="60717EAF" w14:textId="77777777" w:rsidR="00F129F7" w:rsidRPr="008253C4" w:rsidRDefault="00F129F7" w:rsidP="008253C4">
            <w:pPr>
              <w:jc w:val="center"/>
              <w:rPr>
                <w:color w:val="000000"/>
                <w:sz w:val="18"/>
                <w:szCs w:val="18"/>
              </w:rPr>
            </w:pPr>
            <w:r w:rsidRPr="008253C4">
              <w:rPr>
                <w:color w:val="000000"/>
                <w:sz w:val="18"/>
                <w:szCs w:val="18"/>
              </w:rPr>
              <w:t>85.43 (9.39)</w:t>
            </w:r>
          </w:p>
        </w:tc>
        <w:tc>
          <w:tcPr>
            <w:tcW w:w="1417" w:type="dxa"/>
            <w:tcBorders>
              <w:top w:val="nil"/>
              <w:left w:val="nil"/>
              <w:bottom w:val="nil"/>
              <w:right w:val="nil"/>
            </w:tcBorders>
            <w:shd w:val="clear" w:color="auto" w:fill="auto"/>
            <w:noWrap/>
            <w:hideMark/>
          </w:tcPr>
          <w:p w14:paraId="7D15F92E" w14:textId="77777777" w:rsidR="00F129F7" w:rsidRPr="008253C4" w:rsidRDefault="00F129F7" w:rsidP="008253C4">
            <w:pPr>
              <w:jc w:val="center"/>
              <w:rPr>
                <w:color w:val="000000"/>
                <w:sz w:val="18"/>
                <w:szCs w:val="18"/>
              </w:rPr>
            </w:pPr>
            <w:r w:rsidRPr="008253C4">
              <w:rPr>
                <w:color w:val="000000"/>
                <w:sz w:val="18"/>
                <w:szCs w:val="18"/>
              </w:rPr>
              <w:t>93.61 (13.32)</w:t>
            </w:r>
          </w:p>
        </w:tc>
        <w:tc>
          <w:tcPr>
            <w:tcW w:w="1418" w:type="dxa"/>
            <w:tcBorders>
              <w:top w:val="nil"/>
              <w:left w:val="nil"/>
              <w:bottom w:val="nil"/>
              <w:right w:val="nil"/>
            </w:tcBorders>
            <w:shd w:val="clear" w:color="auto" w:fill="auto"/>
            <w:noWrap/>
            <w:hideMark/>
          </w:tcPr>
          <w:p w14:paraId="4F055258" w14:textId="77777777" w:rsidR="00F129F7" w:rsidRPr="008253C4" w:rsidRDefault="00F129F7" w:rsidP="008253C4">
            <w:pPr>
              <w:jc w:val="center"/>
              <w:rPr>
                <w:color w:val="000000"/>
                <w:sz w:val="18"/>
                <w:szCs w:val="18"/>
              </w:rPr>
            </w:pPr>
            <w:r w:rsidRPr="008253C4">
              <w:rPr>
                <w:color w:val="000000"/>
                <w:sz w:val="18"/>
                <w:szCs w:val="18"/>
              </w:rPr>
              <w:t>94.00 (14.61)</w:t>
            </w:r>
          </w:p>
        </w:tc>
        <w:tc>
          <w:tcPr>
            <w:tcW w:w="283" w:type="dxa"/>
            <w:tcBorders>
              <w:top w:val="nil"/>
              <w:left w:val="nil"/>
              <w:bottom w:val="nil"/>
              <w:right w:val="nil"/>
            </w:tcBorders>
            <w:shd w:val="clear" w:color="auto" w:fill="auto"/>
            <w:noWrap/>
            <w:hideMark/>
          </w:tcPr>
          <w:p w14:paraId="1A34E4E5"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7A3DE062"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155) = 2.91,</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.036, </w:t>
            </w:r>
            <w:r w:rsidRPr="008253C4">
              <w:rPr>
                <w:b/>
                <w:bCs/>
                <w:i/>
                <w:iCs/>
                <w:color w:val="000000"/>
                <w:sz w:val="18"/>
                <w:szCs w:val="18"/>
              </w:rPr>
              <w:t>η2</w:t>
            </w:r>
            <w:r w:rsidRPr="008253C4">
              <w:rPr>
                <w:b/>
                <w:bCs/>
                <w:color w:val="000000"/>
                <w:sz w:val="18"/>
                <w:szCs w:val="18"/>
              </w:rPr>
              <w:t xml:space="preserve"> = 0.05</w:t>
            </w:r>
          </w:p>
        </w:tc>
        <w:tc>
          <w:tcPr>
            <w:tcW w:w="1276" w:type="dxa"/>
            <w:vMerge w:val="restart"/>
            <w:tcBorders>
              <w:top w:val="nil"/>
              <w:left w:val="nil"/>
              <w:bottom w:val="nil"/>
              <w:right w:val="nil"/>
            </w:tcBorders>
            <w:shd w:val="clear" w:color="auto" w:fill="auto"/>
            <w:hideMark/>
          </w:tcPr>
          <w:p w14:paraId="32D5FC79"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155) = 0.66,</w:t>
            </w:r>
            <w:r w:rsidRPr="008253C4">
              <w:rPr>
                <w:color w:val="000000"/>
                <w:sz w:val="18"/>
                <w:szCs w:val="18"/>
              </w:rPr>
              <w:br/>
            </w:r>
            <w:r w:rsidRPr="008253C4">
              <w:rPr>
                <w:i/>
                <w:iCs/>
                <w:color w:val="000000"/>
                <w:sz w:val="18"/>
                <w:szCs w:val="18"/>
              </w:rPr>
              <w:t>p</w:t>
            </w:r>
            <w:r w:rsidRPr="008253C4">
              <w:rPr>
                <w:color w:val="000000"/>
                <w:sz w:val="18"/>
                <w:szCs w:val="18"/>
              </w:rPr>
              <w:t xml:space="preserve"> = .417, </w:t>
            </w:r>
            <w:r w:rsidRPr="008253C4">
              <w:rPr>
                <w:i/>
                <w:iCs/>
                <w:color w:val="000000"/>
                <w:sz w:val="18"/>
                <w:szCs w:val="18"/>
              </w:rPr>
              <w:t>η2</w:t>
            </w:r>
            <w:r w:rsidRPr="008253C4">
              <w:rPr>
                <w:color w:val="000000"/>
                <w:sz w:val="18"/>
                <w:szCs w:val="18"/>
              </w:rPr>
              <w:t xml:space="preserve"> = 0.004</w:t>
            </w:r>
          </w:p>
        </w:tc>
        <w:tc>
          <w:tcPr>
            <w:tcW w:w="1275" w:type="dxa"/>
            <w:vMerge w:val="restart"/>
            <w:tcBorders>
              <w:top w:val="nil"/>
              <w:left w:val="nil"/>
              <w:bottom w:val="nil"/>
              <w:right w:val="nil"/>
            </w:tcBorders>
            <w:shd w:val="clear" w:color="auto" w:fill="auto"/>
            <w:hideMark/>
          </w:tcPr>
          <w:p w14:paraId="564384F3"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(3, 155) = 0.93,</w:t>
            </w:r>
            <w:r w:rsidRPr="008253C4">
              <w:rPr>
                <w:color w:val="000000"/>
                <w:sz w:val="18"/>
                <w:szCs w:val="18"/>
              </w:rPr>
              <w:br/>
            </w:r>
            <w:r w:rsidRPr="008253C4">
              <w:rPr>
                <w:i/>
                <w:iCs/>
                <w:color w:val="000000"/>
                <w:sz w:val="18"/>
                <w:szCs w:val="18"/>
              </w:rPr>
              <w:t>p</w:t>
            </w:r>
            <w:r w:rsidRPr="008253C4">
              <w:rPr>
                <w:color w:val="000000"/>
                <w:sz w:val="18"/>
                <w:szCs w:val="18"/>
              </w:rPr>
              <w:t xml:space="preserve"> = .430, </w:t>
            </w:r>
            <w:r w:rsidRPr="008253C4">
              <w:rPr>
                <w:i/>
                <w:iCs/>
                <w:color w:val="000000"/>
                <w:sz w:val="18"/>
                <w:szCs w:val="18"/>
              </w:rPr>
              <w:t>η2</w:t>
            </w:r>
            <w:r w:rsidRPr="008253C4">
              <w:rPr>
                <w:color w:val="000000"/>
                <w:sz w:val="18"/>
                <w:szCs w:val="18"/>
              </w:rPr>
              <w:t xml:space="preserve"> = 0.02</w:t>
            </w:r>
          </w:p>
        </w:tc>
      </w:tr>
      <w:tr w:rsidR="00F129F7" w:rsidRPr="00F129F7" w14:paraId="357F126D" w14:textId="77777777" w:rsidTr="009378CB">
        <w:trPr>
          <w:trHeight w:val="320"/>
        </w:trPr>
        <w:tc>
          <w:tcPr>
            <w:tcW w:w="281" w:type="dxa"/>
            <w:tcBorders>
              <w:top w:val="nil"/>
              <w:left w:val="nil"/>
              <w:bottom w:val="nil"/>
              <w:right w:val="nil"/>
            </w:tcBorders>
            <w:shd w:val="clear" w:color="auto" w:fill="auto"/>
            <w:noWrap/>
            <w:hideMark/>
          </w:tcPr>
          <w:p w14:paraId="5ADC1033" w14:textId="77777777" w:rsidR="00F129F7" w:rsidRPr="008253C4" w:rsidRDefault="00F129F7" w:rsidP="008253C4">
            <w:pPr>
              <w:jc w:val="center"/>
              <w:rPr>
                <w:color w:val="000000"/>
                <w:sz w:val="18"/>
                <w:szCs w:val="18"/>
              </w:rPr>
            </w:pPr>
          </w:p>
        </w:tc>
        <w:tc>
          <w:tcPr>
            <w:tcW w:w="284" w:type="dxa"/>
            <w:tcBorders>
              <w:top w:val="nil"/>
              <w:left w:val="nil"/>
              <w:bottom w:val="nil"/>
              <w:right w:val="nil"/>
            </w:tcBorders>
            <w:shd w:val="clear" w:color="auto" w:fill="auto"/>
            <w:noWrap/>
            <w:hideMark/>
          </w:tcPr>
          <w:p w14:paraId="47665AF4"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3CBC2818"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195AF850" w14:textId="77777777" w:rsidR="00F129F7" w:rsidRPr="008253C4" w:rsidRDefault="00F129F7" w:rsidP="008253C4">
            <w:pPr>
              <w:jc w:val="center"/>
              <w:rPr>
                <w:color w:val="000000"/>
                <w:sz w:val="18"/>
                <w:szCs w:val="18"/>
              </w:rPr>
            </w:pPr>
            <w:r w:rsidRPr="008253C4">
              <w:rPr>
                <w:color w:val="000000"/>
                <w:sz w:val="18"/>
                <w:szCs w:val="18"/>
              </w:rPr>
              <w:t>92.21 (11.15)</w:t>
            </w:r>
          </w:p>
        </w:tc>
        <w:tc>
          <w:tcPr>
            <w:tcW w:w="1418" w:type="dxa"/>
            <w:tcBorders>
              <w:top w:val="nil"/>
              <w:left w:val="nil"/>
              <w:bottom w:val="nil"/>
              <w:right w:val="nil"/>
            </w:tcBorders>
            <w:shd w:val="clear" w:color="auto" w:fill="auto"/>
            <w:noWrap/>
            <w:hideMark/>
          </w:tcPr>
          <w:p w14:paraId="51F4D580" w14:textId="77777777" w:rsidR="00F129F7" w:rsidRPr="008253C4" w:rsidRDefault="00F129F7" w:rsidP="008253C4">
            <w:pPr>
              <w:jc w:val="center"/>
              <w:rPr>
                <w:color w:val="000000"/>
                <w:sz w:val="18"/>
                <w:szCs w:val="18"/>
              </w:rPr>
            </w:pPr>
            <w:r w:rsidRPr="008253C4">
              <w:rPr>
                <w:color w:val="000000"/>
                <w:sz w:val="18"/>
                <w:szCs w:val="18"/>
              </w:rPr>
              <w:t>81.79 (8.26)</w:t>
            </w:r>
          </w:p>
        </w:tc>
        <w:tc>
          <w:tcPr>
            <w:tcW w:w="1417" w:type="dxa"/>
            <w:tcBorders>
              <w:top w:val="nil"/>
              <w:left w:val="nil"/>
              <w:bottom w:val="nil"/>
              <w:right w:val="nil"/>
            </w:tcBorders>
            <w:shd w:val="clear" w:color="auto" w:fill="auto"/>
            <w:noWrap/>
            <w:hideMark/>
          </w:tcPr>
          <w:p w14:paraId="38AF716F" w14:textId="77777777" w:rsidR="00F129F7" w:rsidRPr="008253C4" w:rsidRDefault="00F129F7" w:rsidP="008253C4">
            <w:pPr>
              <w:jc w:val="center"/>
              <w:rPr>
                <w:color w:val="000000"/>
                <w:sz w:val="18"/>
                <w:szCs w:val="18"/>
              </w:rPr>
            </w:pPr>
            <w:r w:rsidRPr="008253C4">
              <w:rPr>
                <w:color w:val="000000"/>
                <w:sz w:val="18"/>
                <w:szCs w:val="18"/>
              </w:rPr>
              <w:t>92.83 (14.11)</w:t>
            </w:r>
          </w:p>
        </w:tc>
        <w:tc>
          <w:tcPr>
            <w:tcW w:w="1418" w:type="dxa"/>
            <w:tcBorders>
              <w:top w:val="nil"/>
              <w:left w:val="nil"/>
              <w:bottom w:val="nil"/>
              <w:right w:val="nil"/>
            </w:tcBorders>
            <w:shd w:val="clear" w:color="auto" w:fill="auto"/>
            <w:noWrap/>
            <w:hideMark/>
          </w:tcPr>
          <w:p w14:paraId="3D9F7250" w14:textId="77777777" w:rsidR="00F129F7" w:rsidRPr="008253C4" w:rsidRDefault="00F129F7" w:rsidP="008253C4">
            <w:pPr>
              <w:jc w:val="center"/>
              <w:rPr>
                <w:color w:val="000000"/>
                <w:sz w:val="18"/>
                <w:szCs w:val="18"/>
              </w:rPr>
            </w:pPr>
            <w:r w:rsidRPr="008253C4">
              <w:rPr>
                <w:color w:val="000000"/>
                <w:sz w:val="18"/>
                <w:szCs w:val="18"/>
              </w:rPr>
              <w:t>93.89 (13.41)</w:t>
            </w:r>
          </w:p>
        </w:tc>
        <w:tc>
          <w:tcPr>
            <w:tcW w:w="283" w:type="dxa"/>
            <w:tcBorders>
              <w:top w:val="nil"/>
              <w:left w:val="nil"/>
              <w:bottom w:val="nil"/>
              <w:right w:val="nil"/>
            </w:tcBorders>
            <w:shd w:val="clear" w:color="auto" w:fill="auto"/>
            <w:noWrap/>
            <w:hideMark/>
          </w:tcPr>
          <w:p w14:paraId="28F12960"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46CD1833"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45262B94"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64629871" w14:textId="77777777" w:rsidR="00F129F7" w:rsidRPr="008253C4" w:rsidRDefault="00F129F7" w:rsidP="008253C4">
            <w:pPr>
              <w:rPr>
                <w:color w:val="000000"/>
                <w:sz w:val="18"/>
                <w:szCs w:val="18"/>
              </w:rPr>
            </w:pPr>
          </w:p>
        </w:tc>
      </w:tr>
      <w:tr w:rsidR="00F129F7" w:rsidRPr="00F129F7" w14:paraId="33E27B54" w14:textId="77777777" w:rsidTr="009378CB">
        <w:trPr>
          <w:trHeight w:val="320"/>
        </w:trPr>
        <w:tc>
          <w:tcPr>
            <w:tcW w:w="281" w:type="dxa"/>
            <w:tcBorders>
              <w:top w:val="nil"/>
              <w:left w:val="nil"/>
              <w:bottom w:val="nil"/>
              <w:right w:val="nil"/>
            </w:tcBorders>
            <w:shd w:val="clear" w:color="auto" w:fill="auto"/>
            <w:noWrap/>
            <w:hideMark/>
          </w:tcPr>
          <w:p w14:paraId="66F29E3C" w14:textId="77777777" w:rsidR="00F129F7" w:rsidRPr="008253C4" w:rsidRDefault="00F129F7" w:rsidP="008253C4">
            <w:pPr>
              <w:jc w:val="center"/>
              <w:rPr>
                <w:sz w:val="18"/>
                <w:szCs w:val="18"/>
              </w:rPr>
            </w:pPr>
          </w:p>
        </w:tc>
        <w:tc>
          <w:tcPr>
            <w:tcW w:w="2696" w:type="dxa"/>
            <w:gridSpan w:val="3"/>
            <w:tcBorders>
              <w:top w:val="nil"/>
              <w:left w:val="nil"/>
              <w:bottom w:val="nil"/>
              <w:right w:val="nil"/>
            </w:tcBorders>
            <w:shd w:val="clear" w:color="auto" w:fill="auto"/>
            <w:noWrap/>
            <w:hideMark/>
          </w:tcPr>
          <w:p w14:paraId="04AD5E4F" w14:textId="77777777" w:rsidR="00F129F7" w:rsidRPr="008253C4" w:rsidRDefault="00F129F7" w:rsidP="008253C4">
            <w:pPr>
              <w:rPr>
                <w:color w:val="000000"/>
                <w:sz w:val="18"/>
                <w:szCs w:val="18"/>
              </w:rPr>
            </w:pPr>
            <w:r w:rsidRPr="008253C4">
              <w:rPr>
                <w:color w:val="000000"/>
                <w:sz w:val="18"/>
                <w:szCs w:val="18"/>
              </w:rPr>
              <w:t>Depressive symptoms</w:t>
            </w:r>
          </w:p>
        </w:tc>
        <w:tc>
          <w:tcPr>
            <w:tcW w:w="1418" w:type="dxa"/>
            <w:tcBorders>
              <w:top w:val="nil"/>
              <w:left w:val="nil"/>
              <w:bottom w:val="nil"/>
              <w:right w:val="nil"/>
            </w:tcBorders>
            <w:shd w:val="clear" w:color="auto" w:fill="auto"/>
            <w:noWrap/>
            <w:hideMark/>
          </w:tcPr>
          <w:p w14:paraId="0A07AF81"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63E4A12E"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55086030"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3D5F02A8"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00F5AC1F" w14:textId="77777777" w:rsidR="00F129F7" w:rsidRPr="008253C4" w:rsidRDefault="00F129F7" w:rsidP="008253C4">
            <w:pPr>
              <w:rPr>
                <w:sz w:val="18"/>
                <w:szCs w:val="18"/>
              </w:rPr>
            </w:pPr>
          </w:p>
        </w:tc>
        <w:tc>
          <w:tcPr>
            <w:tcW w:w="1276" w:type="dxa"/>
            <w:tcBorders>
              <w:top w:val="nil"/>
              <w:left w:val="nil"/>
              <w:bottom w:val="nil"/>
              <w:right w:val="nil"/>
            </w:tcBorders>
            <w:shd w:val="clear" w:color="auto" w:fill="auto"/>
            <w:noWrap/>
            <w:hideMark/>
          </w:tcPr>
          <w:p w14:paraId="6BD8C081" w14:textId="77777777" w:rsidR="00F129F7" w:rsidRPr="008253C4" w:rsidRDefault="00F129F7" w:rsidP="008253C4">
            <w:pPr>
              <w:rPr>
                <w:sz w:val="18"/>
                <w:szCs w:val="18"/>
              </w:rPr>
            </w:pPr>
          </w:p>
        </w:tc>
        <w:tc>
          <w:tcPr>
            <w:tcW w:w="1275" w:type="dxa"/>
            <w:tcBorders>
              <w:top w:val="nil"/>
              <w:left w:val="nil"/>
              <w:bottom w:val="nil"/>
              <w:right w:val="nil"/>
            </w:tcBorders>
            <w:shd w:val="clear" w:color="auto" w:fill="auto"/>
            <w:noWrap/>
            <w:hideMark/>
          </w:tcPr>
          <w:p w14:paraId="755E0B40" w14:textId="77777777" w:rsidR="00F129F7" w:rsidRPr="008253C4" w:rsidRDefault="00F129F7" w:rsidP="008253C4">
            <w:pPr>
              <w:rPr>
                <w:sz w:val="18"/>
                <w:szCs w:val="18"/>
              </w:rPr>
            </w:pPr>
          </w:p>
        </w:tc>
      </w:tr>
      <w:tr w:rsidR="00F129F7" w:rsidRPr="00F129F7" w14:paraId="230B5DCC" w14:textId="77777777" w:rsidTr="009378CB">
        <w:trPr>
          <w:trHeight w:val="320"/>
        </w:trPr>
        <w:tc>
          <w:tcPr>
            <w:tcW w:w="281" w:type="dxa"/>
            <w:tcBorders>
              <w:top w:val="nil"/>
              <w:left w:val="nil"/>
              <w:bottom w:val="nil"/>
              <w:right w:val="nil"/>
            </w:tcBorders>
            <w:shd w:val="clear" w:color="auto" w:fill="auto"/>
            <w:noWrap/>
            <w:hideMark/>
          </w:tcPr>
          <w:p w14:paraId="12A220B5"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70CD7566"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151DCC5C"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3335941A" w14:textId="77777777" w:rsidR="00F129F7" w:rsidRPr="008253C4" w:rsidRDefault="00F129F7" w:rsidP="008253C4">
            <w:pPr>
              <w:jc w:val="center"/>
              <w:rPr>
                <w:color w:val="000000"/>
                <w:sz w:val="18"/>
                <w:szCs w:val="18"/>
              </w:rPr>
            </w:pPr>
            <w:r w:rsidRPr="008253C4">
              <w:rPr>
                <w:color w:val="000000"/>
                <w:sz w:val="18"/>
                <w:szCs w:val="18"/>
              </w:rPr>
              <w:t>6.97 (3.81)</w:t>
            </w:r>
          </w:p>
        </w:tc>
        <w:tc>
          <w:tcPr>
            <w:tcW w:w="1418" w:type="dxa"/>
            <w:tcBorders>
              <w:top w:val="nil"/>
              <w:left w:val="nil"/>
              <w:bottom w:val="nil"/>
              <w:right w:val="nil"/>
            </w:tcBorders>
            <w:shd w:val="clear" w:color="auto" w:fill="auto"/>
            <w:noWrap/>
            <w:hideMark/>
          </w:tcPr>
          <w:p w14:paraId="297F8981" w14:textId="77777777" w:rsidR="00F129F7" w:rsidRPr="008253C4" w:rsidRDefault="00F129F7" w:rsidP="008253C4">
            <w:pPr>
              <w:jc w:val="center"/>
              <w:rPr>
                <w:color w:val="000000"/>
                <w:sz w:val="18"/>
                <w:szCs w:val="18"/>
              </w:rPr>
            </w:pPr>
            <w:r w:rsidRPr="008253C4">
              <w:rPr>
                <w:color w:val="000000"/>
                <w:sz w:val="18"/>
                <w:szCs w:val="18"/>
              </w:rPr>
              <w:t>11.80 (3.84)</w:t>
            </w:r>
          </w:p>
        </w:tc>
        <w:tc>
          <w:tcPr>
            <w:tcW w:w="1417" w:type="dxa"/>
            <w:tcBorders>
              <w:top w:val="nil"/>
              <w:left w:val="nil"/>
              <w:bottom w:val="nil"/>
              <w:right w:val="nil"/>
            </w:tcBorders>
            <w:shd w:val="clear" w:color="auto" w:fill="auto"/>
            <w:noWrap/>
            <w:hideMark/>
          </w:tcPr>
          <w:p w14:paraId="1CCAEE76" w14:textId="77777777" w:rsidR="00F129F7" w:rsidRPr="008253C4" w:rsidRDefault="00F129F7" w:rsidP="008253C4">
            <w:pPr>
              <w:jc w:val="center"/>
              <w:rPr>
                <w:color w:val="000000"/>
                <w:sz w:val="18"/>
                <w:szCs w:val="18"/>
              </w:rPr>
            </w:pPr>
            <w:r w:rsidRPr="008253C4">
              <w:rPr>
                <w:color w:val="000000"/>
                <w:sz w:val="18"/>
                <w:szCs w:val="18"/>
              </w:rPr>
              <w:t>8.50 (3.94)</w:t>
            </w:r>
          </w:p>
        </w:tc>
        <w:tc>
          <w:tcPr>
            <w:tcW w:w="1418" w:type="dxa"/>
            <w:tcBorders>
              <w:top w:val="nil"/>
              <w:left w:val="nil"/>
              <w:bottom w:val="nil"/>
              <w:right w:val="nil"/>
            </w:tcBorders>
            <w:shd w:val="clear" w:color="auto" w:fill="auto"/>
            <w:noWrap/>
            <w:hideMark/>
          </w:tcPr>
          <w:p w14:paraId="302ADB1E" w14:textId="77777777" w:rsidR="00F129F7" w:rsidRPr="008253C4" w:rsidRDefault="00F129F7" w:rsidP="008253C4">
            <w:pPr>
              <w:jc w:val="center"/>
              <w:rPr>
                <w:color w:val="000000"/>
                <w:sz w:val="18"/>
                <w:szCs w:val="18"/>
              </w:rPr>
            </w:pPr>
            <w:r w:rsidRPr="008253C4">
              <w:rPr>
                <w:color w:val="000000"/>
                <w:sz w:val="18"/>
                <w:szCs w:val="18"/>
              </w:rPr>
              <w:t>10.19 (4.15)</w:t>
            </w:r>
          </w:p>
        </w:tc>
        <w:tc>
          <w:tcPr>
            <w:tcW w:w="283" w:type="dxa"/>
            <w:tcBorders>
              <w:top w:val="nil"/>
              <w:left w:val="nil"/>
              <w:bottom w:val="nil"/>
              <w:right w:val="nil"/>
            </w:tcBorders>
            <w:shd w:val="clear" w:color="auto" w:fill="auto"/>
            <w:noWrap/>
            <w:hideMark/>
          </w:tcPr>
          <w:p w14:paraId="7724D4DA" w14:textId="77777777" w:rsidR="00F129F7" w:rsidRPr="008253C4" w:rsidRDefault="00F129F7" w:rsidP="008253C4">
            <w:pPr>
              <w:jc w:val="center"/>
              <w:rPr>
                <w:color w:val="000000"/>
                <w:sz w:val="18"/>
                <w:szCs w:val="18"/>
              </w:rPr>
            </w:pPr>
          </w:p>
        </w:tc>
        <w:tc>
          <w:tcPr>
            <w:tcW w:w="1418" w:type="dxa"/>
            <w:vMerge w:val="restart"/>
            <w:tcBorders>
              <w:top w:val="nil"/>
              <w:left w:val="nil"/>
              <w:bottom w:val="nil"/>
              <w:right w:val="nil"/>
            </w:tcBorders>
            <w:shd w:val="clear" w:color="auto" w:fill="auto"/>
            <w:hideMark/>
          </w:tcPr>
          <w:p w14:paraId="5B06AFEC"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155) = 11.51,</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&lt; .001, </w:t>
            </w:r>
            <w:r w:rsidRPr="008253C4">
              <w:rPr>
                <w:b/>
                <w:bCs/>
                <w:i/>
                <w:iCs/>
                <w:color w:val="000000"/>
                <w:sz w:val="18"/>
                <w:szCs w:val="18"/>
              </w:rPr>
              <w:t>η2</w:t>
            </w:r>
            <w:r w:rsidRPr="008253C4">
              <w:rPr>
                <w:b/>
                <w:bCs/>
                <w:color w:val="000000"/>
                <w:sz w:val="18"/>
                <w:szCs w:val="18"/>
              </w:rPr>
              <w:t xml:space="preserve"> = 0.18</w:t>
            </w:r>
          </w:p>
        </w:tc>
        <w:tc>
          <w:tcPr>
            <w:tcW w:w="1276" w:type="dxa"/>
            <w:vMerge w:val="restart"/>
            <w:tcBorders>
              <w:top w:val="nil"/>
              <w:left w:val="nil"/>
              <w:bottom w:val="nil"/>
              <w:right w:val="nil"/>
            </w:tcBorders>
            <w:shd w:val="clear" w:color="auto" w:fill="auto"/>
            <w:hideMark/>
          </w:tcPr>
          <w:p w14:paraId="2A97CCF9"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155) = 0.13,</w:t>
            </w:r>
            <w:r w:rsidRPr="008253C4">
              <w:rPr>
                <w:color w:val="000000"/>
                <w:sz w:val="18"/>
                <w:szCs w:val="18"/>
              </w:rPr>
              <w:br/>
            </w:r>
            <w:r w:rsidRPr="008253C4">
              <w:rPr>
                <w:i/>
                <w:iCs/>
                <w:color w:val="000000"/>
                <w:sz w:val="18"/>
                <w:szCs w:val="18"/>
              </w:rPr>
              <w:t>p</w:t>
            </w:r>
            <w:r w:rsidRPr="008253C4">
              <w:rPr>
                <w:color w:val="000000"/>
                <w:sz w:val="18"/>
                <w:szCs w:val="18"/>
              </w:rPr>
              <w:t xml:space="preserve"> = .910, </w:t>
            </w:r>
            <w:r w:rsidRPr="008253C4">
              <w:rPr>
                <w:i/>
                <w:iCs/>
                <w:color w:val="000000"/>
                <w:sz w:val="18"/>
                <w:szCs w:val="18"/>
              </w:rPr>
              <w:t>η2</w:t>
            </w:r>
            <w:r w:rsidRPr="008253C4">
              <w:rPr>
                <w:color w:val="000000"/>
                <w:sz w:val="18"/>
                <w:szCs w:val="18"/>
              </w:rPr>
              <w:t xml:space="preserve"> = 0.000</w:t>
            </w:r>
          </w:p>
        </w:tc>
        <w:tc>
          <w:tcPr>
            <w:tcW w:w="1275" w:type="dxa"/>
            <w:vMerge w:val="restart"/>
            <w:tcBorders>
              <w:top w:val="nil"/>
              <w:left w:val="nil"/>
              <w:bottom w:val="nil"/>
              <w:right w:val="nil"/>
            </w:tcBorders>
            <w:shd w:val="clear" w:color="auto" w:fill="auto"/>
            <w:hideMark/>
          </w:tcPr>
          <w:p w14:paraId="1C9F36F0"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155) = 5.27,</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.002, </w:t>
            </w:r>
            <w:r w:rsidRPr="008253C4">
              <w:rPr>
                <w:b/>
                <w:bCs/>
                <w:i/>
                <w:iCs/>
                <w:color w:val="000000"/>
                <w:sz w:val="18"/>
                <w:szCs w:val="18"/>
              </w:rPr>
              <w:t>η2</w:t>
            </w:r>
            <w:r w:rsidRPr="008253C4">
              <w:rPr>
                <w:b/>
                <w:bCs/>
                <w:color w:val="000000"/>
                <w:sz w:val="18"/>
                <w:szCs w:val="18"/>
              </w:rPr>
              <w:t xml:space="preserve"> = 0.09</w:t>
            </w:r>
          </w:p>
        </w:tc>
      </w:tr>
      <w:tr w:rsidR="00F129F7" w:rsidRPr="00F129F7" w14:paraId="6B56D7D1" w14:textId="77777777" w:rsidTr="009378CB">
        <w:trPr>
          <w:trHeight w:val="320"/>
        </w:trPr>
        <w:tc>
          <w:tcPr>
            <w:tcW w:w="281" w:type="dxa"/>
            <w:tcBorders>
              <w:top w:val="nil"/>
              <w:left w:val="nil"/>
              <w:bottom w:val="nil"/>
              <w:right w:val="nil"/>
            </w:tcBorders>
            <w:shd w:val="clear" w:color="auto" w:fill="auto"/>
            <w:noWrap/>
            <w:hideMark/>
          </w:tcPr>
          <w:p w14:paraId="061A0EF7" w14:textId="77777777" w:rsidR="00F129F7" w:rsidRPr="008253C4" w:rsidRDefault="00F129F7" w:rsidP="008253C4">
            <w:pPr>
              <w:jc w:val="center"/>
              <w:rPr>
                <w:b/>
                <w:bCs/>
                <w:color w:val="000000"/>
                <w:sz w:val="18"/>
                <w:szCs w:val="18"/>
              </w:rPr>
            </w:pPr>
          </w:p>
        </w:tc>
        <w:tc>
          <w:tcPr>
            <w:tcW w:w="284" w:type="dxa"/>
            <w:tcBorders>
              <w:top w:val="nil"/>
              <w:left w:val="nil"/>
              <w:bottom w:val="nil"/>
              <w:right w:val="nil"/>
            </w:tcBorders>
            <w:shd w:val="clear" w:color="auto" w:fill="auto"/>
            <w:noWrap/>
            <w:hideMark/>
          </w:tcPr>
          <w:p w14:paraId="30BCC185"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5458D01A"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nil"/>
              <w:right w:val="nil"/>
            </w:tcBorders>
            <w:shd w:val="clear" w:color="auto" w:fill="auto"/>
            <w:noWrap/>
            <w:hideMark/>
          </w:tcPr>
          <w:p w14:paraId="6E34458B" w14:textId="77777777" w:rsidR="00F129F7" w:rsidRPr="008253C4" w:rsidRDefault="00F129F7" w:rsidP="008253C4">
            <w:pPr>
              <w:jc w:val="center"/>
              <w:rPr>
                <w:color w:val="000000"/>
                <w:sz w:val="18"/>
                <w:szCs w:val="18"/>
              </w:rPr>
            </w:pPr>
            <w:r w:rsidRPr="008253C4">
              <w:rPr>
                <w:color w:val="000000"/>
                <w:sz w:val="18"/>
                <w:szCs w:val="18"/>
              </w:rPr>
              <w:t>7.05 (3.85)</w:t>
            </w:r>
          </w:p>
        </w:tc>
        <w:tc>
          <w:tcPr>
            <w:tcW w:w="1418" w:type="dxa"/>
            <w:tcBorders>
              <w:top w:val="nil"/>
              <w:left w:val="nil"/>
              <w:bottom w:val="nil"/>
              <w:right w:val="nil"/>
            </w:tcBorders>
            <w:shd w:val="clear" w:color="auto" w:fill="auto"/>
            <w:noWrap/>
            <w:hideMark/>
          </w:tcPr>
          <w:p w14:paraId="665CC600" w14:textId="77777777" w:rsidR="00F129F7" w:rsidRPr="008253C4" w:rsidRDefault="00F129F7" w:rsidP="008253C4">
            <w:pPr>
              <w:jc w:val="center"/>
              <w:rPr>
                <w:color w:val="000000"/>
                <w:sz w:val="18"/>
                <w:szCs w:val="18"/>
              </w:rPr>
            </w:pPr>
            <w:r w:rsidRPr="008253C4">
              <w:rPr>
                <w:color w:val="000000"/>
                <w:sz w:val="18"/>
                <w:szCs w:val="18"/>
              </w:rPr>
              <w:t>12.32 (4.43)</w:t>
            </w:r>
          </w:p>
        </w:tc>
        <w:tc>
          <w:tcPr>
            <w:tcW w:w="1417" w:type="dxa"/>
            <w:tcBorders>
              <w:top w:val="nil"/>
              <w:left w:val="nil"/>
              <w:bottom w:val="nil"/>
              <w:right w:val="nil"/>
            </w:tcBorders>
            <w:shd w:val="clear" w:color="auto" w:fill="auto"/>
            <w:noWrap/>
            <w:hideMark/>
          </w:tcPr>
          <w:p w14:paraId="1024EC68" w14:textId="77777777" w:rsidR="00F129F7" w:rsidRPr="008253C4" w:rsidRDefault="00F129F7" w:rsidP="008253C4">
            <w:pPr>
              <w:jc w:val="center"/>
              <w:rPr>
                <w:color w:val="000000"/>
                <w:sz w:val="18"/>
                <w:szCs w:val="18"/>
              </w:rPr>
            </w:pPr>
            <w:r w:rsidRPr="008253C4">
              <w:rPr>
                <w:color w:val="000000"/>
                <w:sz w:val="18"/>
                <w:szCs w:val="18"/>
              </w:rPr>
              <w:t>10.16 (3.46)</w:t>
            </w:r>
          </w:p>
        </w:tc>
        <w:tc>
          <w:tcPr>
            <w:tcW w:w="1418" w:type="dxa"/>
            <w:tcBorders>
              <w:top w:val="nil"/>
              <w:left w:val="nil"/>
              <w:bottom w:val="nil"/>
              <w:right w:val="nil"/>
            </w:tcBorders>
            <w:shd w:val="clear" w:color="auto" w:fill="auto"/>
            <w:noWrap/>
            <w:hideMark/>
          </w:tcPr>
          <w:p w14:paraId="738E15AA" w14:textId="77777777" w:rsidR="00F129F7" w:rsidRPr="008253C4" w:rsidRDefault="00F129F7" w:rsidP="008253C4">
            <w:pPr>
              <w:jc w:val="center"/>
              <w:rPr>
                <w:color w:val="000000"/>
                <w:sz w:val="18"/>
                <w:szCs w:val="18"/>
              </w:rPr>
            </w:pPr>
            <w:r w:rsidRPr="008253C4">
              <w:rPr>
                <w:color w:val="000000"/>
                <w:sz w:val="18"/>
                <w:szCs w:val="18"/>
              </w:rPr>
              <w:t>7.76 (3.24)</w:t>
            </w:r>
          </w:p>
        </w:tc>
        <w:tc>
          <w:tcPr>
            <w:tcW w:w="283" w:type="dxa"/>
            <w:tcBorders>
              <w:top w:val="nil"/>
              <w:left w:val="nil"/>
              <w:bottom w:val="nil"/>
              <w:right w:val="nil"/>
            </w:tcBorders>
            <w:shd w:val="clear" w:color="auto" w:fill="auto"/>
            <w:noWrap/>
            <w:hideMark/>
          </w:tcPr>
          <w:p w14:paraId="2CE20A54" w14:textId="77777777" w:rsidR="00F129F7" w:rsidRPr="008253C4" w:rsidRDefault="00F129F7" w:rsidP="008253C4">
            <w:pPr>
              <w:jc w:val="center"/>
              <w:rPr>
                <w:color w:val="000000"/>
                <w:sz w:val="18"/>
                <w:szCs w:val="18"/>
              </w:rPr>
            </w:pPr>
          </w:p>
        </w:tc>
        <w:tc>
          <w:tcPr>
            <w:tcW w:w="1418" w:type="dxa"/>
            <w:vMerge/>
            <w:tcBorders>
              <w:top w:val="nil"/>
              <w:left w:val="nil"/>
              <w:bottom w:val="nil"/>
              <w:right w:val="nil"/>
            </w:tcBorders>
            <w:hideMark/>
          </w:tcPr>
          <w:p w14:paraId="76B2FDD2" w14:textId="77777777" w:rsidR="00F129F7" w:rsidRPr="008253C4" w:rsidRDefault="00F129F7" w:rsidP="008253C4">
            <w:pPr>
              <w:rPr>
                <w:b/>
                <w:bCs/>
                <w:color w:val="000000"/>
                <w:sz w:val="18"/>
                <w:szCs w:val="18"/>
              </w:rPr>
            </w:pPr>
          </w:p>
        </w:tc>
        <w:tc>
          <w:tcPr>
            <w:tcW w:w="1276" w:type="dxa"/>
            <w:vMerge/>
            <w:tcBorders>
              <w:top w:val="nil"/>
              <w:left w:val="nil"/>
              <w:bottom w:val="nil"/>
              <w:right w:val="nil"/>
            </w:tcBorders>
            <w:hideMark/>
          </w:tcPr>
          <w:p w14:paraId="4BC0622A" w14:textId="77777777" w:rsidR="00F129F7" w:rsidRPr="008253C4" w:rsidRDefault="00F129F7" w:rsidP="008253C4">
            <w:pPr>
              <w:rPr>
                <w:color w:val="000000"/>
                <w:sz w:val="18"/>
                <w:szCs w:val="18"/>
              </w:rPr>
            </w:pPr>
          </w:p>
        </w:tc>
        <w:tc>
          <w:tcPr>
            <w:tcW w:w="1275" w:type="dxa"/>
            <w:vMerge/>
            <w:tcBorders>
              <w:top w:val="nil"/>
              <w:left w:val="nil"/>
              <w:bottom w:val="nil"/>
              <w:right w:val="nil"/>
            </w:tcBorders>
            <w:hideMark/>
          </w:tcPr>
          <w:p w14:paraId="2E82CF48" w14:textId="77777777" w:rsidR="00F129F7" w:rsidRPr="008253C4" w:rsidRDefault="00F129F7" w:rsidP="008253C4">
            <w:pPr>
              <w:rPr>
                <w:b/>
                <w:bCs/>
                <w:color w:val="000000"/>
                <w:sz w:val="18"/>
                <w:szCs w:val="18"/>
              </w:rPr>
            </w:pPr>
          </w:p>
        </w:tc>
      </w:tr>
      <w:tr w:rsidR="00F129F7" w:rsidRPr="00F129F7" w14:paraId="493DF683" w14:textId="77777777" w:rsidTr="009378CB">
        <w:trPr>
          <w:trHeight w:val="320"/>
        </w:trPr>
        <w:tc>
          <w:tcPr>
            <w:tcW w:w="281" w:type="dxa"/>
            <w:tcBorders>
              <w:top w:val="nil"/>
              <w:left w:val="nil"/>
              <w:bottom w:val="nil"/>
              <w:right w:val="nil"/>
            </w:tcBorders>
            <w:shd w:val="clear" w:color="auto" w:fill="auto"/>
            <w:noWrap/>
            <w:hideMark/>
          </w:tcPr>
          <w:p w14:paraId="7DA264E2" w14:textId="77777777" w:rsidR="00F129F7" w:rsidRPr="008253C4" w:rsidRDefault="00F129F7" w:rsidP="008253C4">
            <w:pPr>
              <w:rPr>
                <w:sz w:val="18"/>
                <w:szCs w:val="18"/>
              </w:rPr>
            </w:pPr>
          </w:p>
        </w:tc>
        <w:tc>
          <w:tcPr>
            <w:tcW w:w="2696" w:type="dxa"/>
            <w:gridSpan w:val="3"/>
            <w:tcBorders>
              <w:top w:val="nil"/>
              <w:left w:val="nil"/>
              <w:bottom w:val="nil"/>
              <w:right w:val="nil"/>
            </w:tcBorders>
            <w:shd w:val="clear" w:color="auto" w:fill="auto"/>
            <w:noWrap/>
            <w:hideMark/>
          </w:tcPr>
          <w:p w14:paraId="5A052AF6" w14:textId="77777777" w:rsidR="00F129F7" w:rsidRPr="008253C4" w:rsidRDefault="00F129F7" w:rsidP="008253C4">
            <w:pPr>
              <w:rPr>
                <w:color w:val="000000"/>
                <w:sz w:val="18"/>
                <w:szCs w:val="18"/>
              </w:rPr>
            </w:pPr>
            <w:r w:rsidRPr="008253C4">
              <w:rPr>
                <w:color w:val="000000"/>
                <w:sz w:val="18"/>
                <w:szCs w:val="18"/>
              </w:rPr>
              <w:t>Anxious symptoms</w:t>
            </w:r>
          </w:p>
        </w:tc>
        <w:tc>
          <w:tcPr>
            <w:tcW w:w="1418" w:type="dxa"/>
            <w:tcBorders>
              <w:top w:val="nil"/>
              <w:left w:val="nil"/>
              <w:bottom w:val="nil"/>
              <w:right w:val="nil"/>
            </w:tcBorders>
            <w:shd w:val="clear" w:color="auto" w:fill="auto"/>
            <w:noWrap/>
            <w:hideMark/>
          </w:tcPr>
          <w:p w14:paraId="134DF8C2" w14:textId="77777777" w:rsidR="00F129F7" w:rsidRPr="008253C4" w:rsidRDefault="00F129F7" w:rsidP="008253C4">
            <w:pPr>
              <w:rPr>
                <w:color w:val="000000"/>
                <w:sz w:val="18"/>
                <w:szCs w:val="18"/>
              </w:rPr>
            </w:pPr>
          </w:p>
        </w:tc>
        <w:tc>
          <w:tcPr>
            <w:tcW w:w="1417" w:type="dxa"/>
            <w:tcBorders>
              <w:top w:val="nil"/>
              <w:left w:val="nil"/>
              <w:bottom w:val="nil"/>
              <w:right w:val="nil"/>
            </w:tcBorders>
            <w:shd w:val="clear" w:color="auto" w:fill="auto"/>
            <w:noWrap/>
            <w:hideMark/>
          </w:tcPr>
          <w:p w14:paraId="314CF8B4"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70EDDD24" w14:textId="77777777" w:rsidR="00F129F7" w:rsidRPr="008253C4" w:rsidRDefault="00F129F7" w:rsidP="008253C4">
            <w:pPr>
              <w:jc w:val="center"/>
              <w:rPr>
                <w:sz w:val="18"/>
                <w:szCs w:val="18"/>
              </w:rPr>
            </w:pPr>
          </w:p>
        </w:tc>
        <w:tc>
          <w:tcPr>
            <w:tcW w:w="283" w:type="dxa"/>
            <w:tcBorders>
              <w:top w:val="nil"/>
              <w:left w:val="nil"/>
              <w:bottom w:val="nil"/>
              <w:right w:val="nil"/>
            </w:tcBorders>
            <w:shd w:val="clear" w:color="auto" w:fill="auto"/>
            <w:noWrap/>
            <w:hideMark/>
          </w:tcPr>
          <w:p w14:paraId="7049A06B" w14:textId="77777777" w:rsidR="00F129F7" w:rsidRPr="008253C4" w:rsidRDefault="00F129F7" w:rsidP="008253C4">
            <w:pPr>
              <w:jc w:val="center"/>
              <w:rPr>
                <w:sz w:val="18"/>
                <w:szCs w:val="18"/>
              </w:rPr>
            </w:pPr>
          </w:p>
        </w:tc>
        <w:tc>
          <w:tcPr>
            <w:tcW w:w="1418" w:type="dxa"/>
            <w:tcBorders>
              <w:top w:val="nil"/>
              <w:left w:val="nil"/>
              <w:bottom w:val="nil"/>
              <w:right w:val="nil"/>
            </w:tcBorders>
            <w:shd w:val="clear" w:color="auto" w:fill="auto"/>
            <w:noWrap/>
            <w:hideMark/>
          </w:tcPr>
          <w:p w14:paraId="539C09E7" w14:textId="77777777" w:rsidR="00F129F7" w:rsidRPr="008253C4" w:rsidRDefault="00F129F7" w:rsidP="008253C4">
            <w:pPr>
              <w:rPr>
                <w:sz w:val="18"/>
                <w:szCs w:val="18"/>
              </w:rPr>
            </w:pPr>
          </w:p>
        </w:tc>
        <w:tc>
          <w:tcPr>
            <w:tcW w:w="1276" w:type="dxa"/>
            <w:tcBorders>
              <w:top w:val="nil"/>
              <w:left w:val="nil"/>
              <w:bottom w:val="nil"/>
              <w:right w:val="nil"/>
            </w:tcBorders>
            <w:shd w:val="clear" w:color="auto" w:fill="auto"/>
            <w:noWrap/>
            <w:hideMark/>
          </w:tcPr>
          <w:p w14:paraId="2434C573" w14:textId="77777777" w:rsidR="00F129F7" w:rsidRPr="008253C4" w:rsidRDefault="00F129F7" w:rsidP="008253C4">
            <w:pPr>
              <w:rPr>
                <w:sz w:val="18"/>
                <w:szCs w:val="18"/>
              </w:rPr>
            </w:pPr>
          </w:p>
        </w:tc>
        <w:tc>
          <w:tcPr>
            <w:tcW w:w="1275" w:type="dxa"/>
            <w:tcBorders>
              <w:top w:val="nil"/>
              <w:left w:val="nil"/>
              <w:bottom w:val="nil"/>
              <w:right w:val="nil"/>
            </w:tcBorders>
            <w:shd w:val="clear" w:color="auto" w:fill="auto"/>
            <w:noWrap/>
            <w:hideMark/>
          </w:tcPr>
          <w:p w14:paraId="1787A126" w14:textId="77777777" w:rsidR="00F129F7" w:rsidRPr="008253C4" w:rsidRDefault="00F129F7" w:rsidP="008253C4">
            <w:pPr>
              <w:rPr>
                <w:sz w:val="18"/>
                <w:szCs w:val="18"/>
              </w:rPr>
            </w:pPr>
          </w:p>
        </w:tc>
      </w:tr>
      <w:tr w:rsidR="00F129F7" w:rsidRPr="00F129F7" w14:paraId="5FF8ABBA" w14:textId="77777777" w:rsidTr="009378CB">
        <w:trPr>
          <w:trHeight w:val="320"/>
        </w:trPr>
        <w:tc>
          <w:tcPr>
            <w:tcW w:w="281" w:type="dxa"/>
            <w:tcBorders>
              <w:top w:val="nil"/>
              <w:left w:val="nil"/>
              <w:bottom w:val="nil"/>
              <w:right w:val="nil"/>
            </w:tcBorders>
            <w:shd w:val="clear" w:color="auto" w:fill="auto"/>
            <w:noWrap/>
            <w:hideMark/>
          </w:tcPr>
          <w:p w14:paraId="6926D2E8" w14:textId="77777777" w:rsidR="00F129F7" w:rsidRPr="008253C4" w:rsidRDefault="00F129F7" w:rsidP="008253C4">
            <w:pPr>
              <w:rPr>
                <w:sz w:val="18"/>
                <w:szCs w:val="18"/>
              </w:rPr>
            </w:pPr>
          </w:p>
        </w:tc>
        <w:tc>
          <w:tcPr>
            <w:tcW w:w="284" w:type="dxa"/>
            <w:tcBorders>
              <w:top w:val="nil"/>
              <w:left w:val="nil"/>
              <w:bottom w:val="nil"/>
              <w:right w:val="nil"/>
            </w:tcBorders>
            <w:shd w:val="clear" w:color="auto" w:fill="auto"/>
            <w:noWrap/>
            <w:hideMark/>
          </w:tcPr>
          <w:p w14:paraId="11760DE3" w14:textId="77777777" w:rsidR="00F129F7" w:rsidRPr="008253C4" w:rsidRDefault="00F129F7" w:rsidP="008253C4">
            <w:pPr>
              <w:rPr>
                <w:sz w:val="18"/>
                <w:szCs w:val="18"/>
              </w:rPr>
            </w:pPr>
          </w:p>
        </w:tc>
        <w:tc>
          <w:tcPr>
            <w:tcW w:w="995" w:type="dxa"/>
            <w:tcBorders>
              <w:top w:val="nil"/>
              <w:left w:val="nil"/>
              <w:bottom w:val="nil"/>
              <w:right w:val="nil"/>
            </w:tcBorders>
            <w:shd w:val="clear" w:color="auto" w:fill="auto"/>
            <w:noWrap/>
            <w:hideMark/>
          </w:tcPr>
          <w:p w14:paraId="78FF7DC0" w14:textId="77777777" w:rsidR="00F129F7" w:rsidRPr="008253C4" w:rsidRDefault="00F129F7" w:rsidP="008253C4">
            <w:pPr>
              <w:rPr>
                <w:color w:val="000000"/>
                <w:sz w:val="18"/>
                <w:szCs w:val="18"/>
              </w:rPr>
            </w:pPr>
            <w:r w:rsidRPr="008253C4">
              <w:rPr>
                <w:color w:val="000000"/>
                <w:sz w:val="18"/>
                <w:szCs w:val="18"/>
              </w:rPr>
              <w:t>Baseline</w:t>
            </w:r>
          </w:p>
        </w:tc>
        <w:tc>
          <w:tcPr>
            <w:tcW w:w="1417" w:type="dxa"/>
            <w:tcBorders>
              <w:top w:val="nil"/>
              <w:left w:val="nil"/>
              <w:bottom w:val="nil"/>
              <w:right w:val="nil"/>
            </w:tcBorders>
            <w:shd w:val="clear" w:color="auto" w:fill="auto"/>
            <w:noWrap/>
            <w:hideMark/>
          </w:tcPr>
          <w:p w14:paraId="7C88291B" w14:textId="77777777" w:rsidR="00F129F7" w:rsidRPr="008253C4" w:rsidRDefault="00F129F7" w:rsidP="008253C4">
            <w:pPr>
              <w:jc w:val="center"/>
              <w:rPr>
                <w:color w:val="000000"/>
                <w:sz w:val="18"/>
                <w:szCs w:val="18"/>
              </w:rPr>
            </w:pPr>
            <w:r w:rsidRPr="008253C4">
              <w:rPr>
                <w:color w:val="000000"/>
                <w:sz w:val="18"/>
                <w:szCs w:val="18"/>
              </w:rPr>
              <w:t>5.62 (3.82)</w:t>
            </w:r>
          </w:p>
        </w:tc>
        <w:tc>
          <w:tcPr>
            <w:tcW w:w="1418" w:type="dxa"/>
            <w:tcBorders>
              <w:top w:val="nil"/>
              <w:left w:val="nil"/>
              <w:bottom w:val="nil"/>
              <w:right w:val="nil"/>
            </w:tcBorders>
            <w:shd w:val="clear" w:color="auto" w:fill="auto"/>
            <w:noWrap/>
            <w:hideMark/>
          </w:tcPr>
          <w:p w14:paraId="0E9DE27A" w14:textId="77777777" w:rsidR="00F129F7" w:rsidRPr="008253C4" w:rsidRDefault="00F129F7" w:rsidP="008253C4">
            <w:pPr>
              <w:jc w:val="center"/>
              <w:rPr>
                <w:color w:val="000000"/>
                <w:sz w:val="18"/>
                <w:szCs w:val="18"/>
              </w:rPr>
            </w:pPr>
            <w:r w:rsidRPr="008253C4">
              <w:rPr>
                <w:color w:val="000000"/>
                <w:sz w:val="18"/>
                <w:szCs w:val="18"/>
              </w:rPr>
              <w:t>10.00 (4.15)</w:t>
            </w:r>
          </w:p>
        </w:tc>
        <w:tc>
          <w:tcPr>
            <w:tcW w:w="1417" w:type="dxa"/>
            <w:tcBorders>
              <w:top w:val="nil"/>
              <w:left w:val="nil"/>
              <w:bottom w:val="nil"/>
              <w:right w:val="nil"/>
            </w:tcBorders>
            <w:shd w:val="clear" w:color="auto" w:fill="auto"/>
            <w:noWrap/>
            <w:hideMark/>
          </w:tcPr>
          <w:p w14:paraId="5A062AED" w14:textId="77777777" w:rsidR="00F129F7" w:rsidRPr="008253C4" w:rsidRDefault="00F129F7" w:rsidP="008253C4">
            <w:pPr>
              <w:jc w:val="center"/>
              <w:rPr>
                <w:color w:val="000000"/>
                <w:sz w:val="18"/>
                <w:szCs w:val="18"/>
              </w:rPr>
            </w:pPr>
            <w:r w:rsidRPr="008253C4">
              <w:rPr>
                <w:color w:val="000000"/>
                <w:sz w:val="18"/>
                <w:szCs w:val="18"/>
              </w:rPr>
              <w:t>8.22 (4.33)</w:t>
            </w:r>
          </w:p>
        </w:tc>
        <w:tc>
          <w:tcPr>
            <w:tcW w:w="1418" w:type="dxa"/>
            <w:tcBorders>
              <w:top w:val="nil"/>
              <w:left w:val="nil"/>
              <w:bottom w:val="nil"/>
              <w:right w:val="nil"/>
            </w:tcBorders>
            <w:shd w:val="clear" w:color="auto" w:fill="auto"/>
            <w:noWrap/>
            <w:hideMark/>
          </w:tcPr>
          <w:p w14:paraId="39A9A050" w14:textId="77777777" w:rsidR="00F129F7" w:rsidRPr="008253C4" w:rsidRDefault="00F129F7" w:rsidP="008253C4">
            <w:pPr>
              <w:jc w:val="center"/>
              <w:rPr>
                <w:color w:val="000000"/>
                <w:sz w:val="18"/>
                <w:szCs w:val="18"/>
              </w:rPr>
            </w:pPr>
            <w:r w:rsidRPr="008253C4">
              <w:rPr>
                <w:color w:val="000000"/>
                <w:sz w:val="18"/>
                <w:szCs w:val="18"/>
              </w:rPr>
              <w:t>9.71 (4.61)</w:t>
            </w:r>
          </w:p>
        </w:tc>
        <w:tc>
          <w:tcPr>
            <w:tcW w:w="283" w:type="dxa"/>
            <w:tcBorders>
              <w:top w:val="nil"/>
              <w:left w:val="nil"/>
              <w:bottom w:val="nil"/>
              <w:right w:val="nil"/>
            </w:tcBorders>
            <w:shd w:val="clear" w:color="auto" w:fill="auto"/>
            <w:noWrap/>
            <w:hideMark/>
          </w:tcPr>
          <w:p w14:paraId="3B77EB37" w14:textId="77777777" w:rsidR="00F129F7" w:rsidRPr="008253C4" w:rsidRDefault="00F129F7" w:rsidP="008253C4">
            <w:pPr>
              <w:jc w:val="center"/>
              <w:rPr>
                <w:color w:val="000000"/>
                <w:sz w:val="18"/>
                <w:szCs w:val="18"/>
              </w:rPr>
            </w:pPr>
          </w:p>
        </w:tc>
        <w:tc>
          <w:tcPr>
            <w:tcW w:w="1418" w:type="dxa"/>
            <w:vMerge w:val="restart"/>
            <w:tcBorders>
              <w:top w:val="nil"/>
              <w:left w:val="nil"/>
              <w:bottom w:val="single" w:sz="4" w:space="0" w:color="000000"/>
              <w:right w:val="nil"/>
            </w:tcBorders>
            <w:shd w:val="clear" w:color="auto" w:fill="auto"/>
            <w:hideMark/>
          </w:tcPr>
          <w:p w14:paraId="028761C5"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10.98,</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&lt; .001, </w:t>
            </w:r>
            <w:r w:rsidRPr="008253C4">
              <w:rPr>
                <w:b/>
                <w:bCs/>
                <w:i/>
                <w:iCs/>
                <w:color w:val="000000"/>
                <w:sz w:val="18"/>
                <w:szCs w:val="18"/>
              </w:rPr>
              <w:t>η2</w:t>
            </w:r>
            <w:r w:rsidRPr="008253C4">
              <w:rPr>
                <w:b/>
                <w:bCs/>
                <w:color w:val="000000"/>
                <w:sz w:val="18"/>
                <w:szCs w:val="18"/>
              </w:rPr>
              <w:t xml:space="preserve"> = 0.18</w:t>
            </w:r>
          </w:p>
        </w:tc>
        <w:tc>
          <w:tcPr>
            <w:tcW w:w="1276" w:type="dxa"/>
            <w:vMerge w:val="restart"/>
            <w:tcBorders>
              <w:top w:val="nil"/>
              <w:left w:val="nil"/>
              <w:bottom w:val="single" w:sz="4" w:space="0" w:color="000000"/>
              <w:right w:val="nil"/>
            </w:tcBorders>
            <w:shd w:val="clear" w:color="auto" w:fill="auto"/>
            <w:hideMark/>
          </w:tcPr>
          <w:p w14:paraId="1EBE6C4E" w14:textId="77777777" w:rsidR="00F129F7" w:rsidRPr="008253C4" w:rsidRDefault="00F129F7" w:rsidP="008253C4">
            <w:pPr>
              <w:jc w:val="center"/>
              <w:rPr>
                <w:color w:val="000000"/>
                <w:sz w:val="18"/>
                <w:szCs w:val="18"/>
              </w:rPr>
            </w:pPr>
            <w:r w:rsidRPr="008253C4">
              <w:rPr>
                <w:i/>
                <w:iCs/>
                <w:color w:val="000000"/>
                <w:sz w:val="18"/>
                <w:szCs w:val="18"/>
              </w:rPr>
              <w:t>F</w:t>
            </w:r>
            <w:r w:rsidRPr="008253C4">
              <w:rPr>
                <w:color w:val="000000"/>
                <w:sz w:val="18"/>
                <w:szCs w:val="18"/>
              </w:rPr>
              <w:t>(1, 154) = 0.19,</w:t>
            </w:r>
            <w:r w:rsidRPr="008253C4">
              <w:rPr>
                <w:color w:val="000000"/>
                <w:sz w:val="18"/>
                <w:szCs w:val="18"/>
              </w:rPr>
              <w:br/>
            </w:r>
            <w:r w:rsidRPr="008253C4">
              <w:rPr>
                <w:i/>
                <w:iCs/>
                <w:color w:val="000000"/>
                <w:sz w:val="18"/>
                <w:szCs w:val="18"/>
              </w:rPr>
              <w:t>p</w:t>
            </w:r>
            <w:r w:rsidRPr="008253C4">
              <w:rPr>
                <w:color w:val="000000"/>
                <w:sz w:val="18"/>
                <w:szCs w:val="18"/>
              </w:rPr>
              <w:t xml:space="preserve"> = .662, </w:t>
            </w:r>
            <w:r w:rsidRPr="008253C4">
              <w:rPr>
                <w:i/>
                <w:iCs/>
                <w:color w:val="000000"/>
                <w:sz w:val="18"/>
                <w:szCs w:val="18"/>
              </w:rPr>
              <w:t>η2</w:t>
            </w:r>
            <w:r w:rsidRPr="008253C4">
              <w:rPr>
                <w:color w:val="000000"/>
                <w:sz w:val="18"/>
                <w:szCs w:val="18"/>
              </w:rPr>
              <w:t xml:space="preserve"> = 0.001</w:t>
            </w:r>
          </w:p>
        </w:tc>
        <w:tc>
          <w:tcPr>
            <w:tcW w:w="1275" w:type="dxa"/>
            <w:vMerge w:val="restart"/>
            <w:tcBorders>
              <w:top w:val="nil"/>
              <w:left w:val="nil"/>
              <w:bottom w:val="single" w:sz="4" w:space="0" w:color="000000"/>
              <w:right w:val="nil"/>
            </w:tcBorders>
            <w:shd w:val="clear" w:color="auto" w:fill="auto"/>
            <w:hideMark/>
          </w:tcPr>
          <w:p w14:paraId="0A4DA67C" w14:textId="77777777" w:rsidR="00F129F7" w:rsidRPr="008253C4" w:rsidRDefault="00F129F7" w:rsidP="008253C4">
            <w:pPr>
              <w:jc w:val="center"/>
              <w:rPr>
                <w:b/>
                <w:bCs/>
                <w:color w:val="000000"/>
                <w:sz w:val="18"/>
                <w:szCs w:val="18"/>
              </w:rPr>
            </w:pPr>
            <w:r w:rsidRPr="008253C4">
              <w:rPr>
                <w:b/>
                <w:bCs/>
                <w:i/>
                <w:iCs/>
                <w:color w:val="000000"/>
                <w:sz w:val="18"/>
                <w:szCs w:val="18"/>
              </w:rPr>
              <w:t>F</w:t>
            </w:r>
            <w:r w:rsidRPr="008253C4">
              <w:rPr>
                <w:b/>
                <w:bCs/>
                <w:color w:val="000000"/>
                <w:sz w:val="18"/>
                <w:szCs w:val="18"/>
              </w:rPr>
              <w:t>(3, 154) = 5.85,</w:t>
            </w:r>
            <w:r w:rsidRPr="008253C4">
              <w:rPr>
                <w:b/>
                <w:bCs/>
                <w:color w:val="000000"/>
                <w:sz w:val="18"/>
                <w:szCs w:val="18"/>
              </w:rPr>
              <w:br/>
            </w:r>
            <w:r w:rsidRPr="008253C4">
              <w:rPr>
                <w:b/>
                <w:bCs/>
                <w:i/>
                <w:iCs/>
                <w:color w:val="000000"/>
                <w:sz w:val="18"/>
                <w:szCs w:val="18"/>
              </w:rPr>
              <w:t>p</w:t>
            </w:r>
            <w:r w:rsidRPr="008253C4">
              <w:rPr>
                <w:b/>
                <w:bCs/>
                <w:color w:val="000000"/>
                <w:sz w:val="18"/>
                <w:szCs w:val="18"/>
              </w:rPr>
              <w:t xml:space="preserve"> = .001, </w:t>
            </w:r>
            <w:r w:rsidRPr="008253C4">
              <w:rPr>
                <w:b/>
                <w:bCs/>
                <w:i/>
                <w:iCs/>
                <w:color w:val="000000"/>
                <w:sz w:val="18"/>
                <w:szCs w:val="18"/>
              </w:rPr>
              <w:t>η2</w:t>
            </w:r>
            <w:r w:rsidRPr="008253C4">
              <w:rPr>
                <w:b/>
                <w:bCs/>
                <w:color w:val="000000"/>
                <w:sz w:val="18"/>
                <w:szCs w:val="18"/>
              </w:rPr>
              <w:t xml:space="preserve"> = 0.10</w:t>
            </w:r>
          </w:p>
        </w:tc>
      </w:tr>
      <w:tr w:rsidR="00F129F7" w:rsidRPr="00F129F7" w14:paraId="7AFB6A6C" w14:textId="77777777" w:rsidTr="009378CB">
        <w:trPr>
          <w:trHeight w:val="320"/>
        </w:trPr>
        <w:tc>
          <w:tcPr>
            <w:tcW w:w="281" w:type="dxa"/>
            <w:tcBorders>
              <w:top w:val="nil"/>
              <w:left w:val="nil"/>
              <w:bottom w:val="single" w:sz="4" w:space="0" w:color="auto"/>
              <w:right w:val="nil"/>
            </w:tcBorders>
            <w:shd w:val="clear" w:color="auto" w:fill="auto"/>
            <w:noWrap/>
            <w:hideMark/>
          </w:tcPr>
          <w:p w14:paraId="61E0DFC0" w14:textId="77777777" w:rsidR="00F129F7" w:rsidRPr="008253C4" w:rsidRDefault="00F129F7" w:rsidP="008253C4">
            <w:pPr>
              <w:rPr>
                <w:color w:val="000000"/>
                <w:sz w:val="18"/>
                <w:szCs w:val="18"/>
              </w:rPr>
            </w:pPr>
            <w:r w:rsidRPr="008253C4">
              <w:rPr>
                <w:color w:val="000000"/>
                <w:sz w:val="18"/>
                <w:szCs w:val="18"/>
              </w:rPr>
              <w:t> </w:t>
            </w:r>
          </w:p>
        </w:tc>
        <w:tc>
          <w:tcPr>
            <w:tcW w:w="284" w:type="dxa"/>
            <w:tcBorders>
              <w:top w:val="nil"/>
              <w:left w:val="nil"/>
              <w:bottom w:val="single" w:sz="4" w:space="0" w:color="auto"/>
              <w:right w:val="nil"/>
            </w:tcBorders>
            <w:shd w:val="clear" w:color="auto" w:fill="auto"/>
            <w:noWrap/>
            <w:hideMark/>
          </w:tcPr>
          <w:p w14:paraId="0AF4B925" w14:textId="77777777" w:rsidR="00F129F7" w:rsidRPr="008253C4" w:rsidRDefault="00F129F7" w:rsidP="008253C4">
            <w:pPr>
              <w:rPr>
                <w:color w:val="000000"/>
                <w:sz w:val="18"/>
                <w:szCs w:val="18"/>
              </w:rPr>
            </w:pPr>
            <w:r w:rsidRPr="008253C4">
              <w:rPr>
                <w:color w:val="000000"/>
                <w:sz w:val="18"/>
                <w:szCs w:val="18"/>
              </w:rPr>
              <w:t> </w:t>
            </w:r>
          </w:p>
        </w:tc>
        <w:tc>
          <w:tcPr>
            <w:tcW w:w="995" w:type="dxa"/>
            <w:tcBorders>
              <w:top w:val="nil"/>
              <w:left w:val="nil"/>
              <w:bottom w:val="single" w:sz="4" w:space="0" w:color="auto"/>
              <w:right w:val="nil"/>
            </w:tcBorders>
            <w:shd w:val="clear" w:color="auto" w:fill="auto"/>
            <w:noWrap/>
            <w:hideMark/>
          </w:tcPr>
          <w:p w14:paraId="696F8599" w14:textId="77777777" w:rsidR="00F129F7" w:rsidRPr="008253C4" w:rsidRDefault="00F129F7" w:rsidP="008253C4">
            <w:pPr>
              <w:rPr>
                <w:color w:val="000000"/>
                <w:sz w:val="18"/>
                <w:szCs w:val="18"/>
              </w:rPr>
            </w:pPr>
            <w:r w:rsidRPr="008253C4">
              <w:rPr>
                <w:color w:val="000000"/>
                <w:sz w:val="18"/>
                <w:szCs w:val="18"/>
              </w:rPr>
              <w:t>Follow-up</w:t>
            </w:r>
          </w:p>
        </w:tc>
        <w:tc>
          <w:tcPr>
            <w:tcW w:w="1417" w:type="dxa"/>
            <w:tcBorders>
              <w:top w:val="nil"/>
              <w:left w:val="nil"/>
              <w:bottom w:val="single" w:sz="4" w:space="0" w:color="auto"/>
              <w:right w:val="nil"/>
            </w:tcBorders>
            <w:shd w:val="clear" w:color="auto" w:fill="auto"/>
            <w:noWrap/>
            <w:hideMark/>
          </w:tcPr>
          <w:p w14:paraId="76653185" w14:textId="77777777" w:rsidR="00F129F7" w:rsidRPr="008253C4" w:rsidRDefault="00F129F7" w:rsidP="008253C4">
            <w:pPr>
              <w:jc w:val="center"/>
              <w:rPr>
                <w:color w:val="000000"/>
                <w:sz w:val="18"/>
                <w:szCs w:val="18"/>
              </w:rPr>
            </w:pPr>
            <w:r w:rsidRPr="008253C4">
              <w:rPr>
                <w:color w:val="000000"/>
                <w:sz w:val="18"/>
                <w:szCs w:val="18"/>
              </w:rPr>
              <w:t>6.08 (4.30)</w:t>
            </w:r>
          </w:p>
        </w:tc>
        <w:tc>
          <w:tcPr>
            <w:tcW w:w="1418" w:type="dxa"/>
            <w:tcBorders>
              <w:top w:val="nil"/>
              <w:left w:val="nil"/>
              <w:bottom w:val="single" w:sz="4" w:space="0" w:color="auto"/>
              <w:right w:val="nil"/>
            </w:tcBorders>
            <w:shd w:val="clear" w:color="auto" w:fill="auto"/>
            <w:noWrap/>
            <w:hideMark/>
          </w:tcPr>
          <w:p w14:paraId="2329AD96" w14:textId="77777777" w:rsidR="00F129F7" w:rsidRPr="008253C4" w:rsidRDefault="00F129F7" w:rsidP="008253C4">
            <w:pPr>
              <w:jc w:val="center"/>
              <w:rPr>
                <w:color w:val="000000"/>
                <w:sz w:val="18"/>
                <w:szCs w:val="18"/>
              </w:rPr>
            </w:pPr>
            <w:r w:rsidRPr="008253C4">
              <w:rPr>
                <w:color w:val="000000"/>
                <w:sz w:val="18"/>
                <w:szCs w:val="18"/>
              </w:rPr>
              <w:t>11.39 (4.72)</w:t>
            </w:r>
          </w:p>
        </w:tc>
        <w:tc>
          <w:tcPr>
            <w:tcW w:w="1417" w:type="dxa"/>
            <w:tcBorders>
              <w:top w:val="nil"/>
              <w:left w:val="nil"/>
              <w:bottom w:val="single" w:sz="4" w:space="0" w:color="auto"/>
              <w:right w:val="nil"/>
            </w:tcBorders>
            <w:shd w:val="clear" w:color="auto" w:fill="auto"/>
            <w:noWrap/>
            <w:hideMark/>
          </w:tcPr>
          <w:p w14:paraId="10F5071F" w14:textId="77777777" w:rsidR="00F129F7" w:rsidRPr="008253C4" w:rsidRDefault="00F129F7" w:rsidP="008253C4">
            <w:pPr>
              <w:jc w:val="center"/>
              <w:rPr>
                <w:color w:val="000000"/>
                <w:sz w:val="18"/>
                <w:szCs w:val="18"/>
              </w:rPr>
            </w:pPr>
            <w:r w:rsidRPr="008253C4">
              <w:rPr>
                <w:color w:val="000000"/>
                <w:sz w:val="18"/>
                <w:szCs w:val="18"/>
              </w:rPr>
              <w:t>9.80 (3.99)</w:t>
            </w:r>
          </w:p>
        </w:tc>
        <w:tc>
          <w:tcPr>
            <w:tcW w:w="1418" w:type="dxa"/>
            <w:tcBorders>
              <w:top w:val="nil"/>
              <w:left w:val="nil"/>
              <w:bottom w:val="single" w:sz="4" w:space="0" w:color="auto"/>
              <w:right w:val="nil"/>
            </w:tcBorders>
            <w:shd w:val="clear" w:color="auto" w:fill="auto"/>
            <w:noWrap/>
            <w:hideMark/>
          </w:tcPr>
          <w:p w14:paraId="231EE982" w14:textId="77777777" w:rsidR="00F129F7" w:rsidRPr="008253C4" w:rsidRDefault="00F129F7" w:rsidP="008253C4">
            <w:pPr>
              <w:jc w:val="center"/>
              <w:rPr>
                <w:color w:val="000000"/>
                <w:sz w:val="18"/>
                <w:szCs w:val="18"/>
              </w:rPr>
            </w:pPr>
            <w:r w:rsidRPr="008253C4">
              <w:rPr>
                <w:color w:val="000000"/>
                <w:sz w:val="18"/>
                <w:szCs w:val="18"/>
              </w:rPr>
              <w:t>6.97 (4.83)</w:t>
            </w:r>
          </w:p>
        </w:tc>
        <w:tc>
          <w:tcPr>
            <w:tcW w:w="283" w:type="dxa"/>
            <w:tcBorders>
              <w:top w:val="nil"/>
              <w:left w:val="nil"/>
              <w:bottom w:val="single" w:sz="4" w:space="0" w:color="auto"/>
              <w:right w:val="nil"/>
            </w:tcBorders>
            <w:shd w:val="clear" w:color="auto" w:fill="auto"/>
            <w:noWrap/>
            <w:hideMark/>
          </w:tcPr>
          <w:p w14:paraId="73F0F15F" w14:textId="77777777" w:rsidR="00F129F7" w:rsidRPr="008253C4" w:rsidRDefault="00F129F7" w:rsidP="008253C4">
            <w:pPr>
              <w:rPr>
                <w:color w:val="000000"/>
                <w:sz w:val="18"/>
                <w:szCs w:val="18"/>
              </w:rPr>
            </w:pPr>
            <w:r w:rsidRPr="008253C4">
              <w:rPr>
                <w:color w:val="000000"/>
                <w:sz w:val="18"/>
                <w:szCs w:val="18"/>
              </w:rPr>
              <w:t> </w:t>
            </w:r>
          </w:p>
        </w:tc>
        <w:tc>
          <w:tcPr>
            <w:tcW w:w="1418" w:type="dxa"/>
            <w:vMerge/>
            <w:tcBorders>
              <w:top w:val="nil"/>
              <w:left w:val="nil"/>
              <w:bottom w:val="single" w:sz="4" w:space="0" w:color="000000"/>
              <w:right w:val="nil"/>
            </w:tcBorders>
            <w:hideMark/>
          </w:tcPr>
          <w:p w14:paraId="7D68BED9" w14:textId="77777777" w:rsidR="00F129F7" w:rsidRPr="008253C4" w:rsidRDefault="00F129F7" w:rsidP="008253C4">
            <w:pPr>
              <w:rPr>
                <w:b/>
                <w:bCs/>
                <w:color w:val="000000"/>
                <w:sz w:val="18"/>
                <w:szCs w:val="18"/>
              </w:rPr>
            </w:pPr>
          </w:p>
        </w:tc>
        <w:tc>
          <w:tcPr>
            <w:tcW w:w="1276" w:type="dxa"/>
            <w:vMerge/>
            <w:tcBorders>
              <w:top w:val="nil"/>
              <w:left w:val="nil"/>
              <w:bottom w:val="single" w:sz="4" w:space="0" w:color="000000"/>
              <w:right w:val="nil"/>
            </w:tcBorders>
            <w:hideMark/>
          </w:tcPr>
          <w:p w14:paraId="366E760E" w14:textId="77777777" w:rsidR="00F129F7" w:rsidRPr="008253C4" w:rsidRDefault="00F129F7" w:rsidP="008253C4">
            <w:pPr>
              <w:rPr>
                <w:color w:val="000000"/>
                <w:sz w:val="18"/>
                <w:szCs w:val="18"/>
              </w:rPr>
            </w:pPr>
          </w:p>
        </w:tc>
        <w:tc>
          <w:tcPr>
            <w:tcW w:w="1275" w:type="dxa"/>
            <w:vMerge/>
            <w:tcBorders>
              <w:top w:val="nil"/>
              <w:left w:val="nil"/>
              <w:bottom w:val="single" w:sz="4" w:space="0" w:color="000000"/>
              <w:right w:val="nil"/>
            </w:tcBorders>
            <w:hideMark/>
          </w:tcPr>
          <w:p w14:paraId="46B3CE3A" w14:textId="77777777" w:rsidR="00F129F7" w:rsidRPr="008253C4" w:rsidRDefault="00F129F7" w:rsidP="008253C4">
            <w:pPr>
              <w:rPr>
                <w:b/>
                <w:bCs/>
                <w:color w:val="000000"/>
                <w:sz w:val="18"/>
                <w:szCs w:val="18"/>
              </w:rPr>
            </w:pPr>
          </w:p>
        </w:tc>
      </w:tr>
    </w:tbl>
    <w:p w14:paraId="1A2EABE5" w14:textId="77777777" w:rsidR="00F129F7" w:rsidRPr="00BC6DC8" w:rsidRDefault="00F129F7" w:rsidP="00F129F7">
      <w:pPr>
        <w:spacing w:line="480" w:lineRule="auto"/>
        <w:contextualSpacing/>
        <w:rPr>
          <w:sz w:val="18"/>
          <w:szCs w:val="18"/>
          <w:lang w:val="en-GB"/>
        </w:rPr>
      </w:pPr>
      <w:r w:rsidRPr="00BC6DC8">
        <w:rPr>
          <w:sz w:val="18"/>
          <w:szCs w:val="18"/>
          <w:lang w:val="en-GB"/>
        </w:rPr>
        <w:t xml:space="preserve">Notes. Bold text indicates significant effects. N = Sample size; SD = Standard deviation; KDQOL-CF = </w:t>
      </w:r>
      <w:proofErr w:type="gramStart"/>
      <w:r w:rsidRPr="00BC6DC8">
        <w:rPr>
          <w:sz w:val="18"/>
          <w:szCs w:val="18"/>
          <w:lang w:val="en-GB"/>
        </w:rPr>
        <w:t>Kidney disease</w:t>
      </w:r>
      <w:proofErr w:type="gramEnd"/>
      <w:r w:rsidRPr="00BC6DC8">
        <w:rPr>
          <w:sz w:val="18"/>
          <w:szCs w:val="18"/>
          <w:lang w:val="en-GB"/>
        </w:rPr>
        <w:t xml:space="preserve"> quality of life cognitive function subscale; SEMCD = Self-efficacy to manage chronic disease scale; SEATR = Self-efficacy to adhere to treatment recommendations scale; MARS = Medication adherence report scale; RABQ = Renal adherence behaviour questionnaire; </w:t>
      </w:r>
      <w:proofErr w:type="spellStart"/>
      <w:r w:rsidRPr="00BC6DC8">
        <w:rPr>
          <w:sz w:val="18"/>
          <w:szCs w:val="18"/>
          <w:lang w:val="en-GB"/>
        </w:rPr>
        <w:t>heiQ</w:t>
      </w:r>
      <w:proofErr w:type="spellEnd"/>
      <w:r w:rsidRPr="00BC6DC8">
        <w:rPr>
          <w:sz w:val="18"/>
          <w:szCs w:val="18"/>
          <w:lang w:val="en-GB"/>
        </w:rPr>
        <w:t xml:space="preserve"> = Health education impact questionnaire.</w:t>
      </w:r>
    </w:p>
    <w:p w14:paraId="24C7DB0B" w14:textId="0C403EC9" w:rsidR="001349F9" w:rsidRPr="00577052" w:rsidRDefault="001349F9" w:rsidP="00577052">
      <w:pPr>
        <w:spacing w:line="480" w:lineRule="auto"/>
        <w:contextualSpacing/>
        <w:jc w:val="center"/>
        <w:rPr>
          <w:b/>
          <w:bCs/>
          <w:lang w:val="en-GB"/>
        </w:rPr>
      </w:pPr>
      <w:r w:rsidRPr="00577052">
        <w:rPr>
          <w:b/>
          <w:bCs/>
          <w:lang w:val="en-GB"/>
        </w:rPr>
        <w:t>Discussion</w:t>
      </w:r>
    </w:p>
    <w:p w14:paraId="5B99C74D" w14:textId="250D7691" w:rsidR="00DD5B85" w:rsidRPr="00577052" w:rsidRDefault="00864715" w:rsidP="00B30859">
      <w:pPr>
        <w:spacing w:line="480" w:lineRule="auto"/>
        <w:contextualSpacing/>
        <w:rPr>
          <w:lang w:val="en-GB"/>
        </w:rPr>
      </w:pPr>
      <w:r w:rsidRPr="00577052">
        <w:rPr>
          <w:lang w:val="en-GB"/>
        </w:rPr>
        <w:t xml:space="preserve">The current study showed </w:t>
      </w:r>
      <w:r w:rsidR="00AC30A7" w:rsidRPr="00577052">
        <w:rPr>
          <w:lang w:val="en-GB"/>
        </w:rPr>
        <w:t>no overall change in</w:t>
      </w:r>
      <w:r w:rsidRPr="00577052">
        <w:rPr>
          <w:lang w:val="en-GB"/>
        </w:rPr>
        <w:t xml:space="preserve"> </w:t>
      </w:r>
      <w:r w:rsidR="00A664C3">
        <w:rPr>
          <w:lang w:val="en-GB"/>
        </w:rPr>
        <w:t xml:space="preserve">the continuous </w:t>
      </w:r>
      <w:r w:rsidR="00AC30A7" w:rsidRPr="00577052">
        <w:rPr>
          <w:lang w:val="en-GB"/>
        </w:rPr>
        <w:t>KDQOL-CF scores over time</w:t>
      </w:r>
      <w:r w:rsidR="00034522" w:rsidRPr="00577052">
        <w:rPr>
          <w:lang w:val="en-GB"/>
        </w:rPr>
        <w:t xml:space="preserve">, but the rates of patients reporting </w:t>
      </w:r>
      <w:r w:rsidR="001F5288" w:rsidRPr="00577052">
        <w:rPr>
          <w:lang w:val="en-GB"/>
        </w:rPr>
        <w:t>SCCs indicative of clinical impairments</w:t>
      </w:r>
      <w:r w:rsidR="00034522" w:rsidRPr="00577052">
        <w:rPr>
          <w:lang w:val="en-GB"/>
        </w:rPr>
        <w:t xml:space="preserve"> increased from 22.0% </w:t>
      </w:r>
      <w:r w:rsidR="000063AF" w:rsidRPr="00577052">
        <w:rPr>
          <w:lang w:val="en-GB"/>
        </w:rPr>
        <w:t xml:space="preserve">to 26.4% </w:t>
      </w:r>
      <w:r w:rsidR="00E767D7" w:rsidRPr="00577052">
        <w:rPr>
          <w:lang w:val="en-GB"/>
        </w:rPr>
        <w:t>over</w:t>
      </w:r>
      <w:r w:rsidR="000063AF" w:rsidRPr="00577052">
        <w:rPr>
          <w:lang w:val="en-GB"/>
        </w:rPr>
        <w:t xml:space="preserve"> one year</w:t>
      </w:r>
      <w:r w:rsidR="006B17C9" w:rsidRPr="00577052">
        <w:rPr>
          <w:lang w:val="en-GB"/>
        </w:rPr>
        <w:t xml:space="preserve"> on HD treatment</w:t>
      </w:r>
      <w:r w:rsidR="000063AF" w:rsidRPr="00577052">
        <w:rPr>
          <w:lang w:val="en-GB"/>
        </w:rPr>
        <w:t xml:space="preserve">. </w:t>
      </w:r>
      <w:r w:rsidR="00E67732" w:rsidRPr="00577052">
        <w:rPr>
          <w:lang w:val="en-GB"/>
        </w:rPr>
        <w:t xml:space="preserve">When dividing patients into trajectory groups, </w:t>
      </w:r>
      <w:r w:rsidR="0025515A" w:rsidRPr="00577052">
        <w:rPr>
          <w:lang w:val="en-GB"/>
        </w:rPr>
        <w:t xml:space="preserve">descriptive </w:t>
      </w:r>
      <w:r w:rsidR="0019270C" w:rsidRPr="00577052">
        <w:rPr>
          <w:lang w:val="en-GB"/>
        </w:rPr>
        <w:t xml:space="preserve">analyses showed that the majority </w:t>
      </w:r>
      <w:r w:rsidR="00091ABC" w:rsidRPr="00577052">
        <w:rPr>
          <w:lang w:val="en-GB"/>
        </w:rPr>
        <w:t xml:space="preserve">(60.4%) </w:t>
      </w:r>
      <w:r w:rsidR="0019270C" w:rsidRPr="00577052">
        <w:rPr>
          <w:lang w:val="en-GB"/>
        </w:rPr>
        <w:t xml:space="preserve">had stable </w:t>
      </w:r>
      <w:r w:rsidR="00745BE6">
        <w:rPr>
          <w:lang w:val="en-GB"/>
        </w:rPr>
        <w:t>levels of minimal</w:t>
      </w:r>
      <w:r w:rsidR="0019270C" w:rsidRPr="00577052">
        <w:rPr>
          <w:lang w:val="en-GB"/>
        </w:rPr>
        <w:t xml:space="preserve"> </w:t>
      </w:r>
      <w:r w:rsidR="00161BD9">
        <w:rPr>
          <w:lang w:val="en-GB"/>
        </w:rPr>
        <w:t>SCCs</w:t>
      </w:r>
      <w:r w:rsidR="0019270C" w:rsidRPr="00577052">
        <w:rPr>
          <w:lang w:val="en-GB"/>
        </w:rPr>
        <w:t xml:space="preserve"> at both time points (</w:t>
      </w:r>
      <w:r w:rsidR="00BC2ADF" w:rsidRPr="00577052">
        <w:rPr>
          <w:lang w:val="en-GB"/>
        </w:rPr>
        <w:t xml:space="preserve">i.e., </w:t>
      </w:r>
      <w:r w:rsidR="0019270C" w:rsidRPr="00577052">
        <w:rPr>
          <w:lang w:val="en-GB"/>
        </w:rPr>
        <w:t>resilient</w:t>
      </w:r>
      <w:r w:rsidR="00BC2ADF" w:rsidRPr="00577052">
        <w:rPr>
          <w:lang w:val="en-GB"/>
        </w:rPr>
        <w:t>)</w:t>
      </w:r>
      <w:r w:rsidR="00091ABC" w:rsidRPr="00577052">
        <w:rPr>
          <w:lang w:val="en-GB"/>
        </w:rPr>
        <w:t xml:space="preserve">, whereas 8.8% had persistent </w:t>
      </w:r>
      <w:r w:rsidR="00161BD9">
        <w:rPr>
          <w:lang w:val="en-GB"/>
        </w:rPr>
        <w:t>SCCs</w:t>
      </w:r>
      <w:r w:rsidR="000E0C2F" w:rsidRPr="00577052">
        <w:rPr>
          <w:lang w:val="en-GB"/>
        </w:rPr>
        <w:t xml:space="preserve"> indicative of CIs</w:t>
      </w:r>
      <w:r w:rsidR="00091ABC" w:rsidRPr="00577052">
        <w:rPr>
          <w:lang w:val="en-GB"/>
        </w:rPr>
        <w:t>.</w:t>
      </w:r>
      <w:r w:rsidR="00575BD8" w:rsidRPr="00577052">
        <w:rPr>
          <w:lang w:val="en-GB"/>
        </w:rPr>
        <w:t xml:space="preserve"> </w:t>
      </w:r>
      <w:r w:rsidR="00911108" w:rsidRPr="00577052">
        <w:rPr>
          <w:lang w:val="en-GB"/>
        </w:rPr>
        <w:t>Around one third of patients experienced either increased (</w:t>
      </w:r>
      <w:r w:rsidR="003C4920" w:rsidRPr="00577052">
        <w:rPr>
          <w:lang w:val="en-GB"/>
        </w:rPr>
        <w:t xml:space="preserve">i.e., </w:t>
      </w:r>
      <w:r w:rsidR="00911108" w:rsidRPr="00577052">
        <w:rPr>
          <w:lang w:val="en-GB"/>
        </w:rPr>
        <w:t>deterioration</w:t>
      </w:r>
      <w:r w:rsidR="00A73C50" w:rsidRPr="00577052">
        <w:rPr>
          <w:lang w:val="en-GB"/>
        </w:rPr>
        <w:t xml:space="preserve">; </w:t>
      </w:r>
      <w:r w:rsidR="00911108" w:rsidRPr="00577052">
        <w:rPr>
          <w:lang w:val="en-GB"/>
        </w:rPr>
        <w:t xml:space="preserve">17.6%) or diminished </w:t>
      </w:r>
      <w:r w:rsidR="005E2A1A" w:rsidRPr="00577052">
        <w:rPr>
          <w:lang w:val="en-GB"/>
        </w:rPr>
        <w:t>(i.e., recovery</w:t>
      </w:r>
      <w:r w:rsidR="00F81FB4" w:rsidRPr="00577052">
        <w:rPr>
          <w:lang w:val="en-GB"/>
        </w:rPr>
        <w:t>; 13.2%</w:t>
      </w:r>
      <w:r w:rsidR="005E2A1A" w:rsidRPr="00577052">
        <w:rPr>
          <w:lang w:val="en-GB"/>
        </w:rPr>
        <w:t xml:space="preserve">) </w:t>
      </w:r>
      <w:r w:rsidR="00911108" w:rsidRPr="00577052">
        <w:rPr>
          <w:lang w:val="en-GB"/>
        </w:rPr>
        <w:t xml:space="preserve">levels of </w:t>
      </w:r>
      <w:r w:rsidR="00161BD9">
        <w:rPr>
          <w:lang w:val="en-GB"/>
        </w:rPr>
        <w:t>SCCs</w:t>
      </w:r>
      <w:r w:rsidR="005849F8">
        <w:rPr>
          <w:lang w:val="en-GB"/>
        </w:rPr>
        <w:t xml:space="preserve"> over time</w:t>
      </w:r>
      <w:r w:rsidR="00F81FB4" w:rsidRPr="00D9368C">
        <w:rPr>
          <w:lang w:val="en-GB"/>
        </w:rPr>
        <w:t>.</w:t>
      </w:r>
      <w:r w:rsidR="00BB79F5" w:rsidRPr="00D9368C">
        <w:rPr>
          <w:lang w:val="en-GB"/>
        </w:rPr>
        <w:t xml:space="preserve"> </w:t>
      </w:r>
      <w:r w:rsidR="00D9368C" w:rsidRPr="00D9368C">
        <w:rPr>
          <w:lang w:val="en-GB"/>
        </w:rPr>
        <w:t xml:space="preserve">Although </w:t>
      </w:r>
      <w:r w:rsidR="006A72BB">
        <w:rPr>
          <w:lang w:val="en-GB"/>
        </w:rPr>
        <w:t xml:space="preserve">baseline </w:t>
      </w:r>
      <w:r w:rsidR="00D9368C" w:rsidRPr="00D9368C">
        <w:rPr>
          <w:lang w:val="en-GB"/>
        </w:rPr>
        <w:t>s</w:t>
      </w:r>
      <w:r w:rsidR="00BB79F5" w:rsidRPr="00D9368C">
        <w:rPr>
          <w:lang w:val="en-GB"/>
        </w:rPr>
        <w:t xml:space="preserve">ociodemographic and clinical </w:t>
      </w:r>
      <w:r w:rsidR="005E11F0">
        <w:rPr>
          <w:lang w:val="en-GB"/>
        </w:rPr>
        <w:t>characteristics</w:t>
      </w:r>
      <w:r w:rsidR="00BB79F5" w:rsidRPr="00D9368C">
        <w:rPr>
          <w:lang w:val="en-GB"/>
        </w:rPr>
        <w:t xml:space="preserve"> were unrelated to </w:t>
      </w:r>
      <w:r w:rsidR="00F854F2" w:rsidRPr="00D9368C">
        <w:rPr>
          <w:lang w:val="en-GB"/>
        </w:rPr>
        <w:t>these trajector</w:t>
      </w:r>
      <w:r w:rsidR="00B0119B">
        <w:rPr>
          <w:lang w:val="en-GB"/>
        </w:rPr>
        <w:t>ies</w:t>
      </w:r>
      <w:r w:rsidR="000C46B0" w:rsidRPr="00D9368C">
        <w:rPr>
          <w:lang w:val="en-GB"/>
        </w:rPr>
        <w:t xml:space="preserve">, </w:t>
      </w:r>
      <w:r w:rsidR="006A72BB">
        <w:rPr>
          <w:lang w:val="en-GB"/>
        </w:rPr>
        <w:t xml:space="preserve">the four groups showed different patterns of change in </w:t>
      </w:r>
      <w:r w:rsidR="007D6224">
        <w:rPr>
          <w:lang w:val="en-GB"/>
        </w:rPr>
        <w:t>critical</w:t>
      </w:r>
      <w:r w:rsidR="006A72BB">
        <w:rPr>
          <w:lang w:val="en-GB"/>
        </w:rPr>
        <w:t xml:space="preserve"> clinical and patient-reported outcomes. </w:t>
      </w:r>
      <w:r w:rsidR="00D95BDD">
        <w:rPr>
          <w:lang w:val="en-GB"/>
        </w:rPr>
        <w:t xml:space="preserve">Specifically, </w:t>
      </w:r>
      <w:r w:rsidR="000C46B0" w:rsidRPr="00D9368C">
        <w:rPr>
          <w:lang w:val="en-GB"/>
        </w:rPr>
        <w:t>the</w:t>
      </w:r>
      <w:r w:rsidR="000C46B0" w:rsidRPr="00577052">
        <w:rPr>
          <w:lang w:val="en-GB"/>
        </w:rPr>
        <w:t xml:space="preserve"> recovery group </w:t>
      </w:r>
      <w:r w:rsidR="00B32337" w:rsidRPr="00577052">
        <w:rPr>
          <w:lang w:val="en-GB"/>
        </w:rPr>
        <w:t xml:space="preserve">showed </w:t>
      </w:r>
      <w:r w:rsidR="00AC324D" w:rsidRPr="00577052">
        <w:rPr>
          <w:lang w:val="en-GB"/>
        </w:rPr>
        <w:t>significant improvements</w:t>
      </w:r>
      <w:r w:rsidR="007C43C1" w:rsidRPr="00577052">
        <w:rPr>
          <w:lang w:val="en-GB"/>
        </w:rPr>
        <w:t xml:space="preserve"> from baseline to follow-up</w:t>
      </w:r>
      <w:r w:rsidR="00AC324D" w:rsidRPr="00577052">
        <w:rPr>
          <w:lang w:val="en-GB"/>
        </w:rPr>
        <w:t xml:space="preserve"> in </w:t>
      </w:r>
      <w:r w:rsidR="00B84448" w:rsidRPr="00577052">
        <w:rPr>
          <w:lang w:val="en-GB"/>
        </w:rPr>
        <w:t>serum phosph</w:t>
      </w:r>
      <w:r w:rsidR="007D4532" w:rsidRPr="00577052">
        <w:rPr>
          <w:lang w:val="en-GB"/>
        </w:rPr>
        <w:t>orus</w:t>
      </w:r>
      <w:r w:rsidR="00B84448" w:rsidRPr="00577052">
        <w:rPr>
          <w:lang w:val="en-GB"/>
        </w:rPr>
        <w:t xml:space="preserve"> and calcium-phosph</w:t>
      </w:r>
      <w:r w:rsidR="00345206" w:rsidRPr="00577052">
        <w:rPr>
          <w:lang w:val="en-GB"/>
        </w:rPr>
        <w:t>orus</w:t>
      </w:r>
      <w:r w:rsidR="00B84448" w:rsidRPr="00577052">
        <w:rPr>
          <w:lang w:val="en-GB"/>
        </w:rPr>
        <w:t xml:space="preserve"> product, as well as improvements in self-efficacy</w:t>
      </w:r>
      <w:r w:rsidR="0032679F" w:rsidRPr="00577052">
        <w:rPr>
          <w:lang w:val="en-GB"/>
        </w:rPr>
        <w:t xml:space="preserve"> and </w:t>
      </w:r>
      <w:r w:rsidR="00FA1C15" w:rsidRPr="00577052">
        <w:rPr>
          <w:lang w:val="en-GB"/>
        </w:rPr>
        <w:t>emotional functioning.</w:t>
      </w:r>
      <w:r w:rsidR="00EB41D4" w:rsidRPr="00577052">
        <w:rPr>
          <w:lang w:val="en-GB"/>
        </w:rPr>
        <w:t xml:space="preserve"> In contrast, patients </w:t>
      </w:r>
      <w:r w:rsidR="00CA2F7C" w:rsidRPr="00577052">
        <w:rPr>
          <w:lang w:val="en-GB"/>
        </w:rPr>
        <w:t xml:space="preserve">who reported persistent </w:t>
      </w:r>
      <w:r w:rsidR="006265D4" w:rsidRPr="00577052">
        <w:rPr>
          <w:lang w:val="en-GB"/>
        </w:rPr>
        <w:t xml:space="preserve">SCCs </w:t>
      </w:r>
      <w:r w:rsidR="00F10A53">
        <w:rPr>
          <w:lang w:val="en-GB"/>
        </w:rPr>
        <w:lastRenderedPageBreak/>
        <w:t>reported significantly</w:t>
      </w:r>
      <w:r w:rsidR="006265D4" w:rsidRPr="00577052">
        <w:rPr>
          <w:lang w:val="en-GB"/>
        </w:rPr>
        <w:t xml:space="preserve"> </w:t>
      </w:r>
      <w:r w:rsidR="003C33EF" w:rsidRPr="00577052">
        <w:rPr>
          <w:lang w:val="en-GB"/>
        </w:rPr>
        <w:t>lower</w:t>
      </w:r>
      <w:r w:rsidR="006265D4" w:rsidRPr="00577052">
        <w:rPr>
          <w:lang w:val="en-GB"/>
        </w:rPr>
        <w:t xml:space="preserve"> self-efficacy</w:t>
      </w:r>
      <w:r w:rsidR="007E217A">
        <w:rPr>
          <w:lang w:val="en-GB"/>
        </w:rPr>
        <w:t xml:space="preserve"> and</w:t>
      </w:r>
      <w:r w:rsidR="00F10A53">
        <w:rPr>
          <w:lang w:val="en-GB"/>
        </w:rPr>
        <w:t xml:space="preserve"> </w:t>
      </w:r>
      <w:r w:rsidR="00F10A53" w:rsidRPr="00577052">
        <w:rPr>
          <w:lang w:val="en-GB"/>
        </w:rPr>
        <w:t>poorer self-management skills</w:t>
      </w:r>
      <w:r w:rsidR="00571DE0" w:rsidRPr="00577052">
        <w:rPr>
          <w:lang w:val="en-GB"/>
        </w:rPr>
        <w:t xml:space="preserve"> </w:t>
      </w:r>
      <w:r w:rsidR="00F10A53">
        <w:rPr>
          <w:lang w:val="en-GB"/>
        </w:rPr>
        <w:t xml:space="preserve">and </w:t>
      </w:r>
      <w:r w:rsidR="003C33EF" w:rsidRPr="00577052">
        <w:rPr>
          <w:lang w:val="en-GB"/>
        </w:rPr>
        <w:t>treatment adherence compared to other patients</w:t>
      </w:r>
      <w:r w:rsidR="00ED1C76" w:rsidRPr="00577052">
        <w:rPr>
          <w:lang w:val="en-GB"/>
        </w:rPr>
        <w:t xml:space="preserve"> across time</w:t>
      </w:r>
      <w:r w:rsidR="003C33EF" w:rsidRPr="00577052">
        <w:rPr>
          <w:lang w:val="en-GB"/>
        </w:rPr>
        <w:t>.</w:t>
      </w:r>
    </w:p>
    <w:p w14:paraId="4DBA7CB7" w14:textId="391334EC" w:rsidR="00DA5FD6" w:rsidRDefault="00A170BE" w:rsidP="00E61F45">
      <w:pPr>
        <w:spacing w:line="480" w:lineRule="auto"/>
        <w:ind w:firstLine="567"/>
        <w:contextualSpacing/>
        <w:rPr>
          <w:lang w:val="en-GB"/>
        </w:rPr>
      </w:pPr>
      <w:r>
        <w:rPr>
          <w:lang w:val="en-GB"/>
        </w:rPr>
        <w:t>Approximately</w:t>
      </w:r>
      <w:r w:rsidR="00DD5B85" w:rsidRPr="00F84FA9">
        <w:rPr>
          <w:lang w:val="en-GB"/>
        </w:rPr>
        <w:t xml:space="preserve"> a quarter of patients </w:t>
      </w:r>
      <w:r w:rsidR="00EC4E20">
        <w:rPr>
          <w:lang w:val="en-GB"/>
        </w:rPr>
        <w:t>at each time point</w:t>
      </w:r>
      <w:r w:rsidR="00DD5B85" w:rsidRPr="00F84FA9">
        <w:rPr>
          <w:lang w:val="en-GB"/>
        </w:rPr>
        <w:t xml:space="preserve"> reported </w:t>
      </w:r>
      <w:r>
        <w:rPr>
          <w:lang w:val="en-GB"/>
        </w:rPr>
        <w:t>high levels of</w:t>
      </w:r>
      <w:r w:rsidR="00DD5B85" w:rsidRPr="00F84FA9">
        <w:rPr>
          <w:lang w:val="en-GB"/>
        </w:rPr>
        <w:t xml:space="preserve"> SCCs indicative of clinical CIs, which is similar to a previous study where 24.0% of HD patients reported a KDQOL-CF score below 60 </w:t>
      </w:r>
      <w:r w:rsidR="00DD5B85" w:rsidRPr="002201E2">
        <w:rPr>
          <w:lang w:val="en-GB"/>
        </w:rPr>
        <w:fldChar w:fldCharType="begin" w:fldLock="1"/>
      </w:r>
      <w:r w:rsidR="00CC2D6A" w:rsidRPr="002201E2">
        <w:rPr>
          <w:lang w:val="en-GB"/>
        </w:rPr>
        <w:instrText>ADDIN CSL_CITATION {"citationItems":[{"id":"ITEM-1","itemData":{"DOI":"10.1053/j.ajkd.2011.12.029","ISSN":"02726386","PMID":"22425261","abstract":"Background: Cognitive impairment is common but often undiagnosed in patients with end-stage renal disease, in part reflecting limited validated and easily administered tools to assess cognitive function in dialysis patients. Accordingly, we assessed the utility of the Kidney Disease Quality of Life Cognitive Function (KDQOL-CF) scale in comparison to an extensive neuropsychological battery, building on a prior assessment of this potential cognitive screen. Study Design: Cross-sectional cohort. Setting &amp; Participants: Maintenance hemodialysis patients at 6 Boston area dialysis units were administered an extensive neurocognitive battery and the KDQOL-CF at the beginning of a hemodialysis session. Predictors: KDQOL-CF score, depression symptom burden, and demographic and clinical characteristics. Outcomes: Neurocognitive performance classified into executive function and memory domains, determined using principal components analysis. Measurements: Univariate and multivariable linear regression models adjusting for age, sex, race, and end-stage renal disease cause were used to evaluate the association between KDQOL-CF score and cognitive performance, and test metrics were determined for a KDQOL-CF cutoff score of 60 or less from a maximum score of 100. Results: For 168 prevalent hemodialysis patients, KDQOL-CF score was 76 ± 19 and 40 (24%) had scores of 60 or less, consistent with self-identified worse cognitive performance. There was no significant correlation between KDQOL-CF score and either memory (P = 0.2 and P = 0.3) or executive function (P = 0.1 and P = 0.4) in univariate and multivariable models, respectively. There was a strong correlation between higher KDQOL-CF score and fewer depression symptoms (P &lt; 0.001). Sensitivity of the KDQOL-CF was poor (range, 0.28-0.36), with modest specificity (range, 0.77-0.81) for identifying worse executive function and memory. Limitations: Cross-sectional study, modest population size, and abbreviated gold-standard cognitive battery. Conclusions: The KDQOL-CF is a poor determinant of neurocognitive performance in hemodialysis patients, with limited sensitivity. To assess cognitive impairment in hemodialysis patients, better screening tests are essential. © 2012 National Kidney Foundation, Inc.","author":[{"dropping-particle":"","family":"Sorensen","given":"Eric P.","non-dropping-particle":"","parse-names":false,"suffix":""},{"dropping-particle":"","family":"Sarnak","given":"Mark J.","non-dropping-particle":"","parse-names":false,"suffix":""},{"dropping-particle":"","family":"Tighiouart","given":"Hocine","non-dropping-particle":"","parse-names":false,"suffix":""},{"dropping-particle":"","family":"Scott","given":"Tammy","non-dropping-particle":"","parse-names":false,"suffix":""},{"dropping-particle":"","family":"Giang","given":"Lena M.","non-dropping-particle":"","parse-names":false,"suffix":""},{"dropping-particle":"","family":"Kirkpatrick","given":"Bethany","non-dropping-particle":"","parse-names":false,"suffix":""},{"dropping-particle":"","family":"Lou","given":"Kristina","non-dropping-particle":"","parse-names":false,"suffix":""},{"dropping-particle":"","family":"Weiner","given":"Daniel E.","non-dropping-particle":"","parse-names":false,"suffix":""}],"container-title":"American Journal of Kidney Diseases","id":"ITEM-1","issue":"3","issued":{"date-parts":[["2012"]]},"page":"417-426","publisher":"Elsevier Inc.","title":"The Kidney Disease Quality of Life Cognitive Function subscale and cognitive performance in maintenance hemodialysis patients","type":"article-journal","volume":"60"},"uris":["http://www.mendeley.com/documents/?uuid=ef96603d-5b14-4d23-9d8c-bbfa2923ed1a"]}],"mendeley":{"formattedCitation":"(Sorensen et al., 2012)","plainTextFormattedCitation":"(Sorensen et al., 2012)","previouslyFormattedCitation":"(Sorensen et al., 2012)"},"properties":{"noteIndex":0},"schema":"https://github.com/citation-style-language/schema/raw/master/csl-citation.json"}</w:instrText>
      </w:r>
      <w:r w:rsidR="00DD5B85" w:rsidRPr="002201E2">
        <w:rPr>
          <w:lang w:val="en-GB"/>
        </w:rPr>
        <w:fldChar w:fldCharType="separate"/>
      </w:r>
      <w:r w:rsidR="007D6381" w:rsidRPr="002201E2">
        <w:rPr>
          <w:noProof/>
          <w:lang w:val="en-GB"/>
        </w:rPr>
        <w:t>(Sorensen et al., 2012)</w:t>
      </w:r>
      <w:r w:rsidR="00DD5B85" w:rsidRPr="002201E2">
        <w:rPr>
          <w:lang w:val="en-GB"/>
        </w:rPr>
        <w:fldChar w:fldCharType="end"/>
      </w:r>
      <w:r w:rsidR="00DD5B85" w:rsidRPr="002201E2">
        <w:rPr>
          <w:lang w:val="en-GB"/>
        </w:rPr>
        <w:t xml:space="preserve">. </w:t>
      </w:r>
      <w:r w:rsidR="00107676">
        <w:rPr>
          <w:lang w:val="en-GB"/>
        </w:rPr>
        <w:t xml:space="preserve">Although most patients experienced only minimal or episodic SCCs, almost one in 10 HD patients in the present study reported high levels of chronic and persistent complaints. </w:t>
      </w:r>
      <w:r w:rsidR="006D1A9F">
        <w:rPr>
          <w:lang w:val="en-GB"/>
        </w:rPr>
        <w:t xml:space="preserve">These patients may have higher risks of developing CIs and dementia since previous studies have shown that </w:t>
      </w:r>
      <w:r w:rsidR="00E61F45">
        <w:rPr>
          <w:lang w:val="en-GB"/>
        </w:rPr>
        <w:t xml:space="preserve">SCCs may be present as long as 15 years before the onset of objective CIs and are a </w:t>
      </w:r>
      <w:r w:rsidR="00505681">
        <w:rPr>
          <w:lang w:val="en-GB"/>
        </w:rPr>
        <w:t xml:space="preserve">reliable </w:t>
      </w:r>
      <w:r w:rsidR="00E61F45">
        <w:rPr>
          <w:lang w:val="en-GB"/>
        </w:rPr>
        <w:t>predictor of future cognitive decline</w:t>
      </w:r>
      <w:r w:rsidR="00F202D8">
        <w:rPr>
          <w:lang w:val="en-GB"/>
        </w:rPr>
        <w:t xml:space="preserve"> </w:t>
      </w:r>
      <w:r w:rsidR="00F202D8">
        <w:rPr>
          <w:lang w:val="en-GB"/>
        </w:rPr>
        <w:fldChar w:fldCharType="begin" w:fldLock="1"/>
      </w:r>
      <w:r w:rsidR="00BF1913">
        <w:rPr>
          <w:lang w:val="en-GB"/>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Disease","type":"article-journal","volume":"13"},"uris":["http://www.mendeley.com/documents/?uuid=7dcbe897-3cdc-4e87-9d81-1eb7c8d16362"]},{"id":"ITEM-2","itemData":{"DOI":"10.1186/s13195-020-00618-1","ISSN":"17589193","PMID":"32375880","abstract":"Background: Subjective cognitive decline (SCD) is a potential risk factor for dementia. We aimed to investigate the association between SCD and subsequent dementia in a nationwide population-based cohort in South Korea. Methods: This cohort included 579,710 66-year-old adults who were followed for a total of 3,870,293 person-years (average 6.68 ± 1.33 years per person). All subjects completed a questionnaire about subjective memory impairment, the Pre-screening Korean Dementia Screening Questionnaire (KDSQ-P), which included a validated 5-item derivative, and were determined to have SCD based on a single question assessing memory decline. Depressive symptoms were assessed in all subjects using a 3-item modified geriatric depression scale. Hazard ratios were estimated using the Cox proportional hazards model and compared between subjects with and without SCD. Results: Compared to subjects without SCD, those with SCD were more likely to develop dementia (incidence per 1000 person-years: non-SCD, 5.66; SCD, 8.59). After adjusting for potential confounding factors, the risk of subsequent dementia significantly increased in subjects with SCD, with an adjusted hazard ratio (aHR) of 1.38 (95% confidence interval [CI] 1.34 to 1.41). The risk of subsequent dementia was greatly increased in subjects with higher KDSQ-P scores (aHR = 2.77, 95% CI 2.35 to 3.27). A significant association between SCD and dementia was observed in both depressive and non-depressive symptom groups (aHR = 1.50, 95% CI 1.42 to 1.57 in subjects with depressive symptoms; aHR = 1.33, 95% CI 1.29 to 1.37 in subjects without depressive symptoms; P = 0.001). Conclusions: In this population of 66-year-old individuals, SCD was significantly associated with an increased risk of subsequent dementia. This association was found in both depressive and non-depressive groups, with an increased risk of dementia in the presence of depressive symptoms. Our findings suggest that SCD indicates a risk for dementia. Further studies are needed to delineate potential approaches to preventing the development of dementia in individuals with SCD.","author":[{"dropping-particle":"","family":"Lee","given":"Yeong Chan","non-dropping-particle":"","parse-names":false,"suffix":""},{"dropping-particle":"","family":"Kang","given":"Jae Myeong","non-dropping-particle":"","parse-names":false,"suffix":""},{"dropping-particle":"","family":"Lee","given":"Hyewon","non-dropping-particle":"","parse-names":false,"suffix":""},{"dropping-particle":"","family":"Kim","given":"Kiwon","non-dropping-particle":"","parse-names":false,"suffix":""},{"dropping-particle":"","family":"Kim","given":"Soyeon","non-dropping-particle":"","parse-names":false,"suffix":""},{"dropping-particle":"","family":"Yu","given":"Tae Yang","non-dropping-particle":"","parse-names":false,"suffix":""},{"dropping-particle":"","family":"Lee","given":"Eun Mi","non-dropping-particle":"","parse-names":false,"suffix":""},{"dropping-particle":"","family":"Kim","given":"Clara Tammy","non-dropping-particle":"","parse-names":false,"suffix":""},{"dropping-particle":"","family":"Kim","given":"Doh Kwan","non-dropping-particle":"","parse-names":false,"suffix":""},{"dropping-particle":"","family":"Lewis","given":"Matthew","non-dropping-particle":"","parse-names":false,"suffix":""},{"dropping-particle":"","family":"Won","given":"Hong Hee","non-dropping-particle":"","parse-names":false,"suffix":""},{"dropping-particle":"","family":"Jessen","given":"Frank","non-dropping-particle":"","parse-names":false,"suffix":""},{"dropping-particle":"","family":"Myung","given":"Woojae","non-dropping-particle":"","parse-names":false,"suffix":""}],"container-title":"Alzheimer's Research and Therapy","id":"ITEM-2","issued":{"date-parts":[["2020"]]},"page":"52","publisher":"Alzheimer's Research &amp; Therapy","title":"Subjective cognitive decline and subsequent dementia: a nationwide cohort study of 579,710 people aged 66 years in South Korea","type":"article-journal","volume":"12"},"uris":["http://www.mendeley.com/documents/?uuid=7c116dda-1939-4dfb-a77b-b4b35bec2d10"]},{"id":"ITEM-3","itemData":{"DOI":"10.1186/s13195-020-00699-y","ISSN":"17589193","PMID":"33109275","abstract":"Background: Subjective cognitive decline (SCD) and anxiety symptoms both predict neurocognitive disorders, but the two correlate strongly with each other. It is unclear whether they reflect two independent disease processes in the development of neurocognitive disorders and hence deserve separate attention. This cohort study examined whether SCD and anxiety symptoms demonstrate independent risks of mild cognitive disorder and dementia (MCI/ dementia). Methods: The study included 14,066 participants aged ≥ 50 years and diagnosed with normal cognition at baseline, recruited from Alzheimer’s Disease Centers across the USA. The participants were evaluated for SCD and anxiety symptoms at baseline and followed up almost annually for incident MCI/dementia (median follow-up 4.5 years; interquartile range 2.2–7.7 years). SCD and anxiety symptoms were included in Cox regression to investigate their independent risks of MCI/dementia. Results: SCD and anxiety symptoms demonstrated independent risks of MCI/dementia, with HR 1.9 (95% CI 1.7–2.1) and 1.3 (95% CI 1.2–1.5), respectively. Co-occurring SCD and anxiety symptoms demonstrated the highest risk (HR 2.4, 95% CI 1.9–2.9)—participants in this group had a 25% probability of developing MCI/dementia by 3.1 years (95% 2.4–3.7), compared to 8.2 years among those without SCD or anxiety (95% CI 7.9–8.6). The results remained robust even in the sensitivity analyses that took into account symptom severity and consistency of symptoms in the first 2 annual visits. Conclusions: The findings suggest that clinicians should not dismiss one over the other when patients present with both SCD and anxiety and that both constructs may potentially be useful to identify high-risk populations for preventive interventions and trials. The findings also point to the need for further research to clarify on the neurobiological distinctions between SCD and anxiety symptoms, which may potentially enrich our understanding on the pathogenesis of neurocognitive disorders.","author":[{"dropping-particle":"","family":"Liew","given":"Tau Ming","non-dropping-particle":"","parse-names":false,"suffix":""}],"container-title":"Alzheimer's Research and Therapy","id":"ITEM-3","issued":{"date-parts":[["2020"]]},"page":"107","publisher":"Alzheimer's Research &amp; Therapy","title":"Subjective cognitive decline, anxiety symptoms, and the risk of mild cognitive impairment and dementia","type":"article-journal","volume":"12"},"uris":["http://www.mendeley.com/documents/?uuid=18dfdf6b-dc1d-4edd-99b9-fcf537f98ac1"]},{"id":"ITEM-4","itemData":{"DOI":"10.1186/s13195-020-00699-y","ISSN":"17589193","PMID":"33109275","abstract":"Background: In cognitively normal individuals, subjective cognitive decline (SCD) has been reported to predict MCI and dementia (MCI/dementia). However, prior studies mostly captured SCD at single time-points without considering the longitudinal course of SCD. This study examined whether the trajectories of SCD provide any added information—beyond one-time assessments of SCD—on the risk of MCI/dementia. Methods: This cohort study included 5661 participants from the Alzheimer’s Disease Centers across the USA, who were ≥ 50 years and had normal cognition in the first-four annual visits (year 1 to year 4). The participants were evaluated for SCD in the first-four annual visits (year 1 to year 4), and followed-up almost annually (year 4 up to year 14) for incident MCI/dementia. SCD trajectories (as identified from latent-class-growth-curve-analysis) were included in Cox regression to estimate their risks of MCI/dementia, with analyses further stratified by age (&lt; 75 years versus ≥ 75 years; based on median-split). Results: Compared to those without SCD (in the first-four annual visits), Intermittent SCD (i.e., reported in 1–2 of the first-four annual visits) predicted a higher risk (HR 1.4) and Persistent SCD (i.e., reported in 3–4 of the first-four annual visits) predicted the highest risk (HR 2.2), with the results remaining significant even after adjusting for baseline SCD. Age-stratified analysis revealed that the risk associated with Intermittent SCD was only present in older individuals, while risk related to Persistent SCD was consistently present across the younger and older age groups. Age compounded the effects of the trajectories, whereby older individuals with Persistent SCD had &gt; 75% probability of developing MCI/dementia by 10 years, in contrast to &lt; 25% probability by 10 years in younger individuals with No SCD. Conclusions: The findings demonstrate the utility of SCD trajectories—especially when used in combination with age strata—in identifying high-risk populations for preventive interventions and trials. They also suggest a potential modification in the current SCD criteria, with the inclusion of “persistent SCD over several years” as a feature of SCD plus.","author":[{"dropping-particle":"","family":"Liew","given":"Tau Ming","non-dropping-particle":"","parse-names":false,"suffix":""}],"container-title":"Alzheimer's Research and Therapy","id":"ITEM-4","issued":{"date-parts":[["2020"]]},"page":"135","publisher":"Alzheimer's Research &amp; Therapy","title":"Trajectories of subjective cognitive decline, and the risk of mild cognitive impairment and dementia","type":"article-journal","volume":"12"},"uris":["http://www.mendeley.com/documents/?uuid=a9a5492c-1a4e-4e66-9462-d8fbf45be423"]}],"mendeley":{"formattedCitation":"(Lee et al., 2020; Liew, 2020a, 2020b; Rabin et al., 2017)","plainTextFormattedCitation":"(Lee et al., 2020; Liew, 2020a, 2020b; Rabin et al., 2017)","previouslyFormattedCitation":"(Lee et al., 2020; Liew, 2020a, 2020b; Rabin et al., 2017)"},"properties":{"noteIndex":0},"schema":"https://github.com/citation-style-language/schema/raw/master/csl-citation.json"}</w:instrText>
      </w:r>
      <w:r w:rsidR="00F202D8">
        <w:rPr>
          <w:lang w:val="en-GB"/>
        </w:rPr>
        <w:fldChar w:fldCharType="separate"/>
      </w:r>
      <w:r w:rsidR="00F202D8" w:rsidRPr="00F202D8">
        <w:rPr>
          <w:noProof/>
          <w:lang w:val="en-GB"/>
        </w:rPr>
        <w:t>(Lee et al., 2020; Liew, 2020a, 2020b; Rabin et al., 2017)</w:t>
      </w:r>
      <w:r w:rsidR="00F202D8">
        <w:rPr>
          <w:lang w:val="en-GB"/>
        </w:rPr>
        <w:fldChar w:fldCharType="end"/>
      </w:r>
      <w:r w:rsidR="00E61F45">
        <w:rPr>
          <w:lang w:val="en-GB"/>
        </w:rPr>
        <w:t xml:space="preserve">. </w:t>
      </w:r>
    </w:p>
    <w:p w14:paraId="7A8DC557" w14:textId="123E22F6" w:rsidR="001604F5" w:rsidRPr="00577052" w:rsidRDefault="007D6224" w:rsidP="00577052">
      <w:pPr>
        <w:spacing w:line="480" w:lineRule="auto"/>
        <w:ind w:firstLine="567"/>
        <w:contextualSpacing/>
        <w:rPr>
          <w:lang w:val="en-GB"/>
        </w:rPr>
      </w:pPr>
      <w:r>
        <w:rPr>
          <w:lang w:val="en-GB"/>
        </w:rPr>
        <w:t xml:space="preserve">The observed longitudinal </w:t>
      </w:r>
      <w:r w:rsidR="00D06F99">
        <w:rPr>
          <w:lang w:val="en-GB"/>
        </w:rPr>
        <w:t>associations</w:t>
      </w:r>
      <w:r w:rsidR="00AD68A1" w:rsidRPr="00577052">
        <w:rPr>
          <w:lang w:val="en-GB"/>
        </w:rPr>
        <w:t xml:space="preserve"> </w:t>
      </w:r>
      <w:r w:rsidR="00D356BA">
        <w:rPr>
          <w:lang w:val="en-GB"/>
        </w:rPr>
        <w:t>of</w:t>
      </w:r>
      <w:r w:rsidR="00AD68A1" w:rsidRPr="00577052">
        <w:rPr>
          <w:lang w:val="en-GB"/>
        </w:rPr>
        <w:t xml:space="preserve"> </w:t>
      </w:r>
      <w:r w:rsidR="00D06F99">
        <w:rPr>
          <w:lang w:val="en-GB"/>
        </w:rPr>
        <w:t xml:space="preserve">SCCs </w:t>
      </w:r>
      <w:r w:rsidR="00D356BA">
        <w:rPr>
          <w:lang w:val="en-GB"/>
        </w:rPr>
        <w:t>with</w:t>
      </w:r>
      <w:r w:rsidR="00AD68A1" w:rsidRPr="00577052">
        <w:rPr>
          <w:lang w:val="en-GB"/>
        </w:rPr>
        <w:t xml:space="preserve"> serum </w:t>
      </w:r>
      <w:r w:rsidR="005E1553" w:rsidRPr="00577052">
        <w:rPr>
          <w:lang w:val="en-GB"/>
        </w:rPr>
        <w:t>phosphorus</w:t>
      </w:r>
      <w:r w:rsidR="00AD68A1" w:rsidRPr="00577052">
        <w:rPr>
          <w:lang w:val="en-GB"/>
        </w:rPr>
        <w:t xml:space="preserve"> and </w:t>
      </w:r>
      <w:r w:rsidR="00627ECF" w:rsidRPr="00577052">
        <w:rPr>
          <w:lang w:val="en-GB"/>
        </w:rPr>
        <w:t>calcium-phosphorus product</w:t>
      </w:r>
      <w:r>
        <w:rPr>
          <w:lang w:val="en-GB"/>
        </w:rPr>
        <w:t xml:space="preserve"> are especially noteworthy as these represent important clinical management endpoint for HD</w:t>
      </w:r>
      <w:r w:rsidR="00D356BA">
        <w:rPr>
          <w:lang w:val="en-GB"/>
        </w:rPr>
        <w:t>.</w:t>
      </w:r>
      <w:r>
        <w:rPr>
          <w:lang w:val="en-GB"/>
        </w:rPr>
        <w:t xml:space="preserve"> Elevated </w:t>
      </w:r>
      <w:r w:rsidR="00840160" w:rsidRPr="00577052">
        <w:rPr>
          <w:lang w:val="en-GB"/>
        </w:rPr>
        <w:t>level</w:t>
      </w:r>
      <w:r>
        <w:rPr>
          <w:lang w:val="en-GB"/>
        </w:rPr>
        <w:t>s</w:t>
      </w:r>
      <w:r w:rsidR="00840160" w:rsidRPr="00577052">
        <w:rPr>
          <w:lang w:val="en-GB"/>
        </w:rPr>
        <w:t xml:space="preserve"> of serum phosphorus </w:t>
      </w:r>
      <w:r w:rsidR="00902CBA" w:rsidRPr="00577052">
        <w:rPr>
          <w:lang w:val="en-GB"/>
        </w:rPr>
        <w:t>in HD patients</w:t>
      </w:r>
      <w:r>
        <w:rPr>
          <w:lang w:val="en-GB"/>
        </w:rPr>
        <w:t xml:space="preserve"> </w:t>
      </w:r>
      <w:r w:rsidR="00840160" w:rsidRPr="00577052">
        <w:rPr>
          <w:lang w:val="en-GB"/>
        </w:rPr>
        <w:t xml:space="preserve">may lead to </w:t>
      </w:r>
      <w:r w:rsidR="005C4C6F" w:rsidRPr="00577052">
        <w:rPr>
          <w:lang w:val="en-GB"/>
        </w:rPr>
        <w:t>calcium deposition in blood vessels</w:t>
      </w:r>
      <w:r w:rsidR="002C1AA9" w:rsidRPr="00577052">
        <w:rPr>
          <w:lang w:val="en-GB"/>
        </w:rPr>
        <w:t xml:space="preserve">, which </w:t>
      </w:r>
      <w:r w:rsidR="00F03953" w:rsidRPr="00577052">
        <w:rPr>
          <w:lang w:val="en-GB"/>
        </w:rPr>
        <w:t xml:space="preserve">in the long-term </w:t>
      </w:r>
      <w:r w:rsidR="0069417B" w:rsidRPr="00577052">
        <w:rPr>
          <w:lang w:val="en-GB"/>
        </w:rPr>
        <w:t>may</w:t>
      </w:r>
      <w:r w:rsidR="00F03953" w:rsidRPr="00577052">
        <w:rPr>
          <w:lang w:val="en-GB"/>
        </w:rPr>
        <w:t xml:space="preserve"> cause soft-tissue and vascular calcification</w:t>
      </w:r>
      <w:r>
        <w:rPr>
          <w:lang w:val="en-GB"/>
        </w:rPr>
        <w:t xml:space="preserve"> </w:t>
      </w:r>
      <w:r w:rsidR="006840F3">
        <w:rPr>
          <w:lang w:val="en-GB"/>
        </w:rPr>
        <w:t xml:space="preserve">and hence </w:t>
      </w:r>
      <w:r w:rsidR="00EA2281">
        <w:rPr>
          <w:lang w:val="en-GB"/>
        </w:rPr>
        <w:t>may increase</w:t>
      </w:r>
      <w:r w:rsidR="00353649" w:rsidRPr="00577052">
        <w:rPr>
          <w:lang w:val="en-GB"/>
        </w:rPr>
        <w:t xml:space="preserve"> </w:t>
      </w:r>
      <w:r w:rsidR="00902CBA" w:rsidRPr="00577052">
        <w:rPr>
          <w:lang w:val="en-GB"/>
        </w:rPr>
        <w:t xml:space="preserve">morbidity and mortality </w:t>
      </w:r>
      <w:r w:rsidR="006840F3">
        <w:rPr>
          <w:lang w:val="en-GB"/>
        </w:rPr>
        <w:t xml:space="preserve">risks </w:t>
      </w:r>
      <w:r w:rsidR="00F36E75" w:rsidRPr="00577052">
        <w:rPr>
          <w:lang w:val="en-GB"/>
        </w:rPr>
        <w:fldChar w:fldCharType="begin" w:fldLock="1"/>
      </w:r>
      <w:r w:rsidR="00CC2D6A">
        <w:rPr>
          <w:lang w:val="en-GB"/>
        </w:rPr>
        <w:instrText>ADDIN CSL_CITATION {"citationItems":[{"id":"ITEM-1","itemData":{"ISBN":"1407345400","author":[{"dropping-particle":"","family":"National Kidney Foundation","given":"","non-dropping-particle":"","parse-names":false,"suffix":""}],"container-title":"American Journal of Kidney Diseases","id":"ITEM-1","issue":"4","issued":{"date-parts":[["2003"]]},"number-of-pages":"SUPPL3","title":"K/DOQI Clinical Practice Guidelines for Bone Metabolism and Disease in Chronic Kidney Disease","type":"book","volume":"42"},"uris":["http://www.mendeley.com/documents/?uuid=5f2420f6-af1f-4baf-ad9c-802d5b6ec4b0"]}],"mendeley":{"formattedCitation":"(National Kidney Foundation, 2003)","plainTextFormattedCitation":"(National Kidney Foundation, 2003)","previouslyFormattedCitation":"(National Kidney Foundation, 2003)"},"properties":{"noteIndex":0},"schema":"https://github.com/citation-style-language/schema/raw/master/csl-citation.json"}</w:instrText>
      </w:r>
      <w:r w:rsidR="00F36E75" w:rsidRPr="00577052">
        <w:rPr>
          <w:lang w:val="en-GB"/>
        </w:rPr>
        <w:fldChar w:fldCharType="separate"/>
      </w:r>
      <w:r w:rsidR="007D6381" w:rsidRPr="007D6381">
        <w:rPr>
          <w:noProof/>
          <w:lang w:val="en-GB"/>
        </w:rPr>
        <w:t>(National Kidney Foundation, 2003)</w:t>
      </w:r>
      <w:r w:rsidR="00F36E75" w:rsidRPr="00577052">
        <w:rPr>
          <w:lang w:val="en-GB"/>
        </w:rPr>
        <w:fldChar w:fldCharType="end"/>
      </w:r>
      <w:r w:rsidR="00F36E75" w:rsidRPr="00577052">
        <w:rPr>
          <w:lang w:val="en-GB"/>
        </w:rPr>
        <w:t>.</w:t>
      </w:r>
      <w:r w:rsidR="00A138A7" w:rsidRPr="00577052">
        <w:rPr>
          <w:lang w:val="en-GB"/>
        </w:rPr>
        <w:t xml:space="preserve"> </w:t>
      </w:r>
      <w:r w:rsidR="00576E47" w:rsidRPr="00577052">
        <w:rPr>
          <w:lang w:val="en-GB"/>
        </w:rPr>
        <w:t>According to the National Kidney Foundation</w:t>
      </w:r>
      <w:r w:rsidR="00576E47" w:rsidRPr="00577052">
        <w:t xml:space="preserve"> </w:t>
      </w:r>
      <w:r w:rsidR="000A6CC8" w:rsidRPr="00577052">
        <w:t>c</w:t>
      </w:r>
      <w:r w:rsidR="00576E47" w:rsidRPr="00577052">
        <w:t xml:space="preserve">linical </w:t>
      </w:r>
      <w:r w:rsidR="000A6CC8" w:rsidRPr="00577052">
        <w:t>p</w:t>
      </w:r>
      <w:r w:rsidR="00576E47" w:rsidRPr="00577052">
        <w:t xml:space="preserve">ractice </w:t>
      </w:r>
      <w:r w:rsidR="000A6CC8" w:rsidRPr="00577052">
        <w:t>g</w:t>
      </w:r>
      <w:r w:rsidR="00576E47" w:rsidRPr="00577052">
        <w:t>uidelines, serum phosphorus should be maintained between 3.5 and 5.5mg/dL, and calcium-phosphorus product should be maintained below 55</w:t>
      </w:r>
      <w:r w:rsidR="00576E47" w:rsidRPr="00577052">
        <w:rPr>
          <w:lang w:val="en-GB"/>
        </w:rPr>
        <w:t>mg</w:t>
      </w:r>
      <w:r w:rsidR="00576E47" w:rsidRPr="00577052">
        <w:rPr>
          <w:vertAlign w:val="superscript"/>
          <w:lang w:val="en-GB"/>
        </w:rPr>
        <w:t>2</w:t>
      </w:r>
      <w:r w:rsidR="00576E47" w:rsidRPr="00577052">
        <w:rPr>
          <w:lang w:val="en-GB"/>
        </w:rPr>
        <w:t>/dL</w:t>
      </w:r>
      <w:r w:rsidR="00576E47" w:rsidRPr="00577052">
        <w:rPr>
          <w:vertAlign w:val="superscript"/>
          <w:lang w:val="en-GB"/>
        </w:rPr>
        <w:t>2</w:t>
      </w:r>
      <w:r w:rsidR="00121695">
        <w:rPr>
          <w:lang w:val="en-GB"/>
        </w:rPr>
        <w:t xml:space="preserve">, in dialysis patients </w:t>
      </w:r>
      <w:r w:rsidR="00035AE1" w:rsidRPr="00577052">
        <w:rPr>
          <w:lang w:val="en-GB"/>
        </w:rPr>
        <w:fldChar w:fldCharType="begin" w:fldLock="1"/>
      </w:r>
      <w:r w:rsidR="00CC2D6A">
        <w:rPr>
          <w:lang w:val="en-GB"/>
        </w:rPr>
        <w:instrText>ADDIN CSL_CITATION {"citationItems":[{"id":"ITEM-1","itemData":{"ISBN":"1407345400","author":[{"dropping-particle":"","family":"National Kidney Foundation","given":"","non-dropping-particle":"","parse-names":false,"suffix":""}],"container-title":"American Journal of Kidney Diseases","id":"ITEM-1","issue":"4","issued":{"date-parts":[["2003"]]},"number-of-pages":"SUPPL3","title":"K/DOQI Clinical Practice Guidelines for Bone Metabolism and Disease in Chronic Kidney Disease","type":"book","volume":"42"},"uris":["http://www.mendeley.com/documents/?uuid=5f2420f6-af1f-4baf-ad9c-802d5b6ec4b0"]}],"mendeley":{"formattedCitation":"(National Kidney Foundation, 2003)","plainTextFormattedCitation":"(National Kidney Foundation, 2003)","previouslyFormattedCitation":"(National Kidney Foundation, 2003)"},"properties":{"noteIndex":0},"schema":"https://github.com/citation-style-language/schema/raw/master/csl-citation.json"}</w:instrText>
      </w:r>
      <w:r w:rsidR="00035AE1" w:rsidRPr="00577052">
        <w:rPr>
          <w:lang w:val="en-GB"/>
        </w:rPr>
        <w:fldChar w:fldCharType="separate"/>
      </w:r>
      <w:r w:rsidR="007D6381" w:rsidRPr="007D6381">
        <w:rPr>
          <w:noProof/>
          <w:lang w:val="en-GB"/>
        </w:rPr>
        <w:t>(National Kidney Foundation, 2003)</w:t>
      </w:r>
      <w:r w:rsidR="00035AE1" w:rsidRPr="00577052">
        <w:rPr>
          <w:lang w:val="en-GB"/>
        </w:rPr>
        <w:fldChar w:fldCharType="end"/>
      </w:r>
      <w:r w:rsidR="00035AE1" w:rsidRPr="00577052">
        <w:rPr>
          <w:lang w:val="en-GB"/>
        </w:rPr>
        <w:t>.</w:t>
      </w:r>
      <w:r w:rsidR="002172E2" w:rsidRPr="00577052">
        <w:rPr>
          <w:lang w:val="en-GB"/>
        </w:rPr>
        <w:t xml:space="preserve"> </w:t>
      </w:r>
      <w:r w:rsidR="00095022" w:rsidRPr="00577052">
        <w:rPr>
          <w:lang w:val="en-GB"/>
        </w:rPr>
        <w:t xml:space="preserve">It appears that </w:t>
      </w:r>
      <w:r w:rsidR="003B6B9C" w:rsidRPr="00577052">
        <w:rPr>
          <w:lang w:val="en-GB"/>
        </w:rPr>
        <w:t>serum phosphorus levels decreased from a borderline high</w:t>
      </w:r>
      <w:r w:rsidR="00416A7C" w:rsidRPr="00577052">
        <w:rPr>
          <w:lang w:val="en-GB"/>
        </w:rPr>
        <w:t xml:space="preserve"> value</w:t>
      </w:r>
      <w:r w:rsidR="002F0D2E" w:rsidRPr="00577052">
        <w:rPr>
          <w:lang w:val="en-GB"/>
        </w:rPr>
        <w:t xml:space="preserve"> at baseline</w:t>
      </w:r>
      <w:r w:rsidR="00FF65B7">
        <w:rPr>
          <w:lang w:val="en-GB"/>
        </w:rPr>
        <w:t xml:space="preserve"> (</w:t>
      </w:r>
      <w:r w:rsidR="00897A0E" w:rsidRPr="00897A0E">
        <w:rPr>
          <w:i/>
          <w:iCs/>
          <w:lang w:val="en-GB"/>
        </w:rPr>
        <w:t>M</w:t>
      </w:r>
      <w:r w:rsidR="00897A0E">
        <w:rPr>
          <w:lang w:val="en-GB"/>
        </w:rPr>
        <w:t xml:space="preserve"> = 5.16</w:t>
      </w:r>
      <w:r w:rsidR="00FF65B7">
        <w:rPr>
          <w:lang w:val="en-GB"/>
        </w:rPr>
        <w:t>)</w:t>
      </w:r>
      <w:r w:rsidR="003B6B9C" w:rsidRPr="00577052">
        <w:rPr>
          <w:lang w:val="en-GB"/>
        </w:rPr>
        <w:t xml:space="preserve"> to a </w:t>
      </w:r>
      <w:r w:rsidR="009E404A">
        <w:rPr>
          <w:lang w:val="en-GB"/>
        </w:rPr>
        <w:t>relatively safe</w:t>
      </w:r>
      <w:r w:rsidR="003B6B9C" w:rsidRPr="00577052">
        <w:rPr>
          <w:lang w:val="en-GB"/>
        </w:rPr>
        <w:t xml:space="preserve"> </w:t>
      </w:r>
      <w:r w:rsidR="008A39BD" w:rsidRPr="00577052">
        <w:rPr>
          <w:lang w:val="en-GB"/>
        </w:rPr>
        <w:t>value</w:t>
      </w:r>
      <w:r w:rsidR="002F0D2E" w:rsidRPr="00577052">
        <w:rPr>
          <w:lang w:val="en-GB"/>
        </w:rPr>
        <w:t xml:space="preserve"> at follow-up</w:t>
      </w:r>
      <w:r w:rsidR="00897A0E">
        <w:rPr>
          <w:lang w:val="en-GB"/>
        </w:rPr>
        <w:t xml:space="preserve"> (</w:t>
      </w:r>
      <w:r w:rsidR="00897A0E" w:rsidRPr="00897A0E">
        <w:rPr>
          <w:i/>
          <w:iCs/>
          <w:lang w:val="en-GB"/>
        </w:rPr>
        <w:t>M</w:t>
      </w:r>
      <w:r w:rsidR="00897A0E">
        <w:rPr>
          <w:lang w:val="en-GB"/>
        </w:rPr>
        <w:t xml:space="preserve"> = 4.40)</w:t>
      </w:r>
      <w:r w:rsidR="008A39BD" w:rsidRPr="00577052">
        <w:rPr>
          <w:lang w:val="en-GB"/>
        </w:rPr>
        <w:t xml:space="preserve"> in the</w:t>
      </w:r>
      <w:r w:rsidR="00095022" w:rsidRPr="00577052">
        <w:rPr>
          <w:lang w:val="en-GB"/>
        </w:rPr>
        <w:t xml:space="preserve"> recovery group</w:t>
      </w:r>
      <w:r w:rsidR="001604F5" w:rsidRPr="00577052">
        <w:rPr>
          <w:lang w:val="en-GB"/>
        </w:rPr>
        <w:t xml:space="preserve">. </w:t>
      </w:r>
      <w:r w:rsidR="00B67B14" w:rsidRPr="00577052">
        <w:rPr>
          <w:lang w:val="en-GB"/>
        </w:rPr>
        <w:t>Also, at follow-up</w:t>
      </w:r>
      <w:r w:rsidR="001604F5" w:rsidRPr="00577052">
        <w:rPr>
          <w:lang w:val="en-GB"/>
        </w:rPr>
        <w:t xml:space="preserve">, </w:t>
      </w:r>
      <w:r w:rsidR="00B67B14" w:rsidRPr="00577052">
        <w:rPr>
          <w:lang w:val="en-GB"/>
        </w:rPr>
        <w:t>the deterioration group had significantly higher levels of</w:t>
      </w:r>
      <w:r w:rsidR="001604F5" w:rsidRPr="00577052">
        <w:rPr>
          <w:lang w:val="en-GB"/>
        </w:rPr>
        <w:t xml:space="preserve"> both serum phosphorus</w:t>
      </w:r>
      <w:r w:rsidR="009E404A">
        <w:rPr>
          <w:lang w:val="en-GB"/>
        </w:rPr>
        <w:t xml:space="preserve"> </w:t>
      </w:r>
      <w:r w:rsidR="001604F5" w:rsidRPr="00577052">
        <w:rPr>
          <w:lang w:val="en-GB"/>
        </w:rPr>
        <w:t xml:space="preserve">and calcium-phosphorus product </w:t>
      </w:r>
      <w:r w:rsidR="00B67B14" w:rsidRPr="00577052">
        <w:rPr>
          <w:lang w:val="en-GB"/>
        </w:rPr>
        <w:t>compared to the recovery group</w:t>
      </w:r>
      <w:r w:rsidR="001604F5" w:rsidRPr="00577052">
        <w:rPr>
          <w:lang w:val="en-GB"/>
        </w:rPr>
        <w:t xml:space="preserve">, and the </w:t>
      </w:r>
      <w:r w:rsidR="00AF7B4F" w:rsidRPr="00577052">
        <w:rPr>
          <w:lang w:val="en-GB"/>
        </w:rPr>
        <w:t xml:space="preserve">follow-up </w:t>
      </w:r>
      <w:r w:rsidR="001604F5" w:rsidRPr="00577052">
        <w:rPr>
          <w:lang w:val="en-GB"/>
        </w:rPr>
        <w:t>value of</w:t>
      </w:r>
      <w:r w:rsidR="00AF7B4F" w:rsidRPr="00577052">
        <w:rPr>
          <w:lang w:val="en-GB"/>
        </w:rPr>
        <w:t xml:space="preserve"> serum</w:t>
      </w:r>
      <w:r w:rsidR="001604F5" w:rsidRPr="00577052">
        <w:rPr>
          <w:lang w:val="en-GB"/>
        </w:rPr>
        <w:t xml:space="preserve"> phosphorus </w:t>
      </w:r>
      <w:r w:rsidR="00AF7B4F" w:rsidRPr="00577052">
        <w:rPr>
          <w:lang w:val="en-GB"/>
        </w:rPr>
        <w:t>in the deterioration group</w:t>
      </w:r>
      <w:r w:rsidR="009E404A">
        <w:rPr>
          <w:lang w:val="en-GB"/>
        </w:rPr>
        <w:t xml:space="preserve"> (</w:t>
      </w:r>
      <w:r w:rsidR="009E404A" w:rsidRPr="00897A0E">
        <w:rPr>
          <w:i/>
          <w:iCs/>
          <w:lang w:val="en-GB"/>
        </w:rPr>
        <w:t>M</w:t>
      </w:r>
      <w:r w:rsidR="009E404A">
        <w:rPr>
          <w:lang w:val="en-GB"/>
        </w:rPr>
        <w:t xml:space="preserve"> = 5.65)</w:t>
      </w:r>
      <w:r w:rsidR="00AF7B4F" w:rsidRPr="00577052">
        <w:rPr>
          <w:lang w:val="en-GB"/>
        </w:rPr>
        <w:t xml:space="preserve"> </w:t>
      </w:r>
      <w:r w:rsidR="001604F5" w:rsidRPr="00577052">
        <w:rPr>
          <w:lang w:val="en-GB"/>
        </w:rPr>
        <w:t xml:space="preserve">exceeded the </w:t>
      </w:r>
      <w:r w:rsidR="00A06F2E">
        <w:rPr>
          <w:lang w:val="en-GB"/>
        </w:rPr>
        <w:t>recommended</w:t>
      </w:r>
      <w:r w:rsidR="001604F5" w:rsidRPr="00577052">
        <w:rPr>
          <w:lang w:val="en-GB"/>
        </w:rPr>
        <w:t xml:space="preserve"> range.</w:t>
      </w:r>
      <w:r w:rsidR="00056559" w:rsidRPr="00577052">
        <w:rPr>
          <w:lang w:val="en-GB"/>
        </w:rPr>
        <w:t xml:space="preserve"> These findings suggest that </w:t>
      </w:r>
      <w:r w:rsidR="0036109E" w:rsidRPr="00577052">
        <w:rPr>
          <w:lang w:val="en-GB"/>
        </w:rPr>
        <w:t>an increase in</w:t>
      </w:r>
      <w:r w:rsidR="00056559" w:rsidRPr="00577052">
        <w:rPr>
          <w:lang w:val="en-GB"/>
        </w:rPr>
        <w:t xml:space="preserve"> </w:t>
      </w:r>
      <w:r w:rsidR="00702F18">
        <w:rPr>
          <w:lang w:val="en-GB"/>
        </w:rPr>
        <w:t>SCCs</w:t>
      </w:r>
      <w:r w:rsidR="00056559" w:rsidRPr="00577052">
        <w:rPr>
          <w:lang w:val="en-GB"/>
        </w:rPr>
        <w:t xml:space="preserve"> </w:t>
      </w:r>
      <w:r w:rsidR="00087AC6" w:rsidRPr="00577052">
        <w:rPr>
          <w:lang w:val="en-GB"/>
        </w:rPr>
        <w:t xml:space="preserve">may be </w:t>
      </w:r>
      <w:r w:rsidR="009B4AD7" w:rsidRPr="00577052">
        <w:rPr>
          <w:lang w:val="en-GB"/>
        </w:rPr>
        <w:t>a</w:t>
      </w:r>
      <w:r w:rsidR="00702F18">
        <w:rPr>
          <w:lang w:val="en-GB"/>
        </w:rPr>
        <w:t xml:space="preserve"> </w:t>
      </w:r>
      <w:r w:rsidR="009B4AD7" w:rsidRPr="00577052">
        <w:rPr>
          <w:lang w:val="en-GB"/>
        </w:rPr>
        <w:t xml:space="preserve">risk factor of </w:t>
      </w:r>
      <w:r w:rsidR="009B4AD7" w:rsidRPr="00577052">
        <w:rPr>
          <w:lang w:val="en-GB"/>
        </w:rPr>
        <w:lastRenderedPageBreak/>
        <w:t xml:space="preserve">worse clinical outcomes </w:t>
      </w:r>
      <w:r w:rsidR="0036109E" w:rsidRPr="00577052">
        <w:rPr>
          <w:lang w:val="en-GB"/>
        </w:rPr>
        <w:t>in HD patients</w:t>
      </w:r>
      <w:r w:rsidR="003A387F" w:rsidRPr="00577052">
        <w:rPr>
          <w:lang w:val="en-GB"/>
        </w:rPr>
        <w:t xml:space="preserve">, which may be due to </w:t>
      </w:r>
      <w:r w:rsidR="00767491" w:rsidRPr="00577052">
        <w:rPr>
          <w:lang w:val="en-GB"/>
        </w:rPr>
        <w:t>everyday cognitive difficulties interfering with</w:t>
      </w:r>
      <w:r w:rsidR="00C276B5" w:rsidRPr="00577052">
        <w:rPr>
          <w:lang w:val="en-GB"/>
        </w:rPr>
        <w:t xml:space="preserve"> self-care behaviours</w:t>
      </w:r>
      <w:r w:rsidR="009F10CA">
        <w:rPr>
          <w:lang w:val="en-GB"/>
        </w:rPr>
        <w:t xml:space="preserve"> such as following a low-phosphorus diet</w:t>
      </w:r>
      <w:r w:rsidR="006840F3">
        <w:rPr>
          <w:lang w:val="en-GB"/>
        </w:rPr>
        <w:t xml:space="preserve"> and </w:t>
      </w:r>
      <w:r w:rsidR="003A7841">
        <w:rPr>
          <w:lang w:val="en-GB"/>
        </w:rPr>
        <w:t>taking</w:t>
      </w:r>
      <w:r w:rsidR="006840F3">
        <w:rPr>
          <w:lang w:val="en-GB"/>
        </w:rPr>
        <w:t xml:space="preserve"> phosphate binder medication</w:t>
      </w:r>
      <w:r w:rsidR="00667773">
        <w:rPr>
          <w:lang w:val="en-GB"/>
        </w:rPr>
        <w:t xml:space="preserve"> on time</w:t>
      </w:r>
      <w:r w:rsidR="0036109E" w:rsidRPr="00577052">
        <w:rPr>
          <w:lang w:val="en-GB"/>
        </w:rPr>
        <w:t>.</w:t>
      </w:r>
    </w:p>
    <w:p w14:paraId="5F5CCF9D" w14:textId="66275ABB" w:rsidR="001821F6" w:rsidRPr="00956747" w:rsidRDefault="00AF40BC" w:rsidP="00956747">
      <w:pPr>
        <w:tabs>
          <w:tab w:val="left" w:pos="3544"/>
        </w:tabs>
        <w:spacing w:line="480" w:lineRule="auto"/>
        <w:ind w:firstLine="567"/>
        <w:contextualSpacing/>
        <w:rPr>
          <w:color w:val="000000" w:themeColor="text1"/>
        </w:rPr>
      </w:pPr>
      <w:r>
        <w:rPr>
          <w:lang w:val="en-GB"/>
        </w:rPr>
        <w:t>SCC</w:t>
      </w:r>
      <w:r w:rsidR="003C450D" w:rsidRPr="00577052">
        <w:rPr>
          <w:lang w:val="en-GB"/>
        </w:rPr>
        <w:t xml:space="preserve"> </w:t>
      </w:r>
      <w:r w:rsidR="000324F5" w:rsidRPr="00577052">
        <w:rPr>
          <w:lang w:val="en-GB"/>
        </w:rPr>
        <w:t>trajectories were also associated with patient-reported out</w:t>
      </w:r>
      <w:r w:rsidR="009F49B0" w:rsidRPr="00577052">
        <w:rPr>
          <w:lang w:val="en-GB"/>
        </w:rPr>
        <w:t xml:space="preserve">comes. </w:t>
      </w:r>
      <w:r w:rsidR="00116F3C">
        <w:rPr>
          <w:lang w:val="en-GB"/>
        </w:rPr>
        <w:t>In particular,</w:t>
      </w:r>
      <w:r w:rsidR="00C5441E" w:rsidRPr="00577052">
        <w:rPr>
          <w:lang w:val="en-GB"/>
        </w:rPr>
        <w:t xml:space="preserve"> the recovery group showed a significant improvement in self-efficacy to manage kidney disease </w:t>
      </w:r>
      <w:r w:rsidR="00F074FD" w:rsidRPr="00577052">
        <w:rPr>
          <w:lang w:val="en-GB"/>
        </w:rPr>
        <w:t>over time</w:t>
      </w:r>
      <w:r w:rsidR="009E5238" w:rsidRPr="00577052">
        <w:rPr>
          <w:lang w:val="en-GB"/>
        </w:rPr>
        <w:t xml:space="preserve">. </w:t>
      </w:r>
      <w:r w:rsidR="00AE67DB">
        <w:rPr>
          <w:lang w:val="en-GB"/>
        </w:rPr>
        <w:t>By</w:t>
      </w:r>
      <w:r w:rsidR="00C5441E" w:rsidRPr="00577052">
        <w:rPr>
          <w:lang w:val="en-GB"/>
        </w:rPr>
        <w:t xml:space="preserve"> contrast, </w:t>
      </w:r>
      <w:r w:rsidR="00334AC8" w:rsidRPr="00577052">
        <w:rPr>
          <w:lang w:val="en-GB"/>
        </w:rPr>
        <w:t xml:space="preserve">patients with persistent </w:t>
      </w:r>
      <w:r w:rsidR="00844E24">
        <w:rPr>
          <w:lang w:val="en-GB"/>
        </w:rPr>
        <w:t>SCCs</w:t>
      </w:r>
      <w:r w:rsidR="00967A37">
        <w:rPr>
          <w:lang w:val="en-GB"/>
        </w:rPr>
        <w:t xml:space="preserve"> </w:t>
      </w:r>
      <w:r w:rsidR="00844E24">
        <w:rPr>
          <w:lang w:val="en-GB"/>
        </w:rPr>
        <w:t>indicative of CIs</w:t>
      </w:r>
      <w:r w:rsidR="00334AC8" w:rsidRPr="00577052">
        <w:rPr>
          <w:lang w:val="en-GB"/>
        </w:rPr>
        <w:t xml:space="preserve"> </w:t>
      </w:r>
      <w:r w:rsidR="00AE0F42" w:rsidRPr="00577052">
        <w:rPr>
          <w:lang w:val="en-GB"/>
        </w:rPr>
        <w:t xml:space="preserve">had the </w:t>
      </w:r>
      <w:r w:rsidR="00844E24">
        <w:rPr>
          <w:lang w:val="en-GB"/>
        </w:rPr>
        <w:t>lowest levels of</w:t>
      </w:r>
      <w:r w:rsidR="00387E5A" w:rsidRPr="00577052">
        <w:rPr>
          <w:lang w:val="en-GB"/>
        </w:rPr>
        <w:t xml:space="preserve"> self-efficacy</w:t>
      </w:r>
      <w:r w:rsidR="00B94F07" w:rsidRPr="00577052">
        <w:rPr>
          <w:lang w:val="en-GB"/>
        </w:rPr>
        <w:t>,</w:t>
      </w:r>
      <w:r w:rsidR="00844E24">
        <w:rPr>
          <w:lang w:val="en-GB"/>
        </w:rPr>
        <w:t xml:space="preserve"> </w:t>
      </w:r>
      <w:r w:rsidR="00844E24" w:rsidRPr="00577052">
        <w:rPr>
          <w:lang w:val="en-GB"/>
        </w:rPr>
        <w:t>self-management skills</w:t>
      </w:r>
      <w:r w:rsidR="00844E24">
        <w:rPr>
          <w:lang w:val="en-GB"/>
        </w:rPr>
        <w:t>, and</w:t>
      </w:r>
      <w:r w:rsidR="00B94F07" w:rsidRPr="00577052">
        <w:rPr>
          <w:lang w:val="en-GB"/>
        </w:rPr>
        <w:t xml:space="preserve"> treatment adherence</w:t>
      </w:r>
      <w:r w:rsidR="00967A37">
        <w:rPr>
          <w:lang w:val="en-GB"/>
        </w:rPr>
        <w:t xml:space="preserve"> which significantly differed from the other trajectory groups</w:t>
      </w:r>
      <w:r w:rsidR="00741F94" w:rsidRPr="00577052">
        <w:rPr>
          <w:lang w:val="en-GB"/>
        </w:rPr>
        <w:t>.</w:t>
      </w:r>
      <w:r w:rsidR="00645DC4">
        <w:rPr>
          <w:lang w:val="en-GB"/>
        </w:rPr>
        <w:t xml:space="preserve"> </w:t>
      </w:r>
      <w:r w:rsidR="00D91995" w:rsidRPr="00D91995">
        <w:rPr>
          <w:color w:val="000000" w:themeColor="text1"/>
        </w:rPr>
        <w:t xml:space="preserve">ESRD and HD entail complex </w:t>
      </w:r>
      <w:r>
        <w:rPr>
          <w:color w:val="000000" w:themeColor="text1"/>
        </w:rPr>
        <w:t>guidelines</w:t>
      </w:r>
      <w:r w:rsidRPr="00D91995">
        <w:rPr>
          <w:color w:val="000000" w:themeColor="text1"/>
        </w:rPr>
        <w:t xml:space="preserve"> </w:t>
      </w:r>
      <w:r w:rsidR="00645DC4">
        <w:rPr>
          <w:color w:val="000000" w:themeColor="text1"/>
        </w:rPr>
        <w:t>on</w:t>
      </w:r>
      <w:r w:rsidR="00D91995" w:rsidRPr="00D91995">
        <w:rPr>
          <w:color w:val="000000" w:themeColor="text1"/>
        </w:rPr>
        <w:t xml:space="preserve"> </w:t>
      </w:r>
      <w:r w:rsidR="0089662C">
        <w:rPr>
          <w:color w:val="000000" w:themeColor="text1"/>
        </w:rPr>
        <w:t xml:space="preserve">diet, </w:t>
      </w:r>
      <w:r w:rsidR="00D91995" w:rsidRPr="00D91995">
        <w:rPr>
          <w:color w:val="000000" w:themeColor="text1"/>
        </w:rPr>
        <w:t>fluid</w:t>
      </w:r>
      <w:r w:rsidR="00645DC4">
        <w:rPr>
          <w:color w:val="000000" w:themeColor="text1"/>
        </w:rPr>
        <w:t xml:space="preserve"> control</w:t>
      </w:r>
      <w:r w:rsidR="00D91995" w:rsidRPr="00D91995">
        <w:rPr>
          <w:color w:val="000000" w:themeColor="text1"/>
        </w:rPr>
        <w:t xml:space="preserve">, </w:t>
      </w:r>
      <w:r w:rsidR="000173F7">
        <w:rPr>
          <w:color w:val="000000" w:themeColor="text1"/>
        </w:rPr>
        <w:t>and medication</w:t>
      </w:r>
      <w:r w:rsidR="0089662C">
        <w:rPr>
          <w:color w:val="000000" w:themeColor="text1"/>
        </w:rPr>
        <w:t xml:space="preserve"> intake,</w:t>
      </w:r>
      <w:r w:rsidR="000173F7">
        <w:rPr>
          <w:color w:val="000000" w:themeColor="text1"/>
        </w:rPr>
        <w:t xml:space="preserve"> which are in most cases compounded by </w:t>
      </w:r>
      <w:r w:rsidR="00D91995" w:rsidRPr="00D91995">
        <w:rPr>
          <w:color w:val="000000" w:themeColor="text1"/>
        </w:rPr>
        <w:t xml:space="preserve">treatment demands of </w:t>
      </w:r>
      <w:r w:rsidR="000173F7">
        <w:rPr>
          <w:color w:val="000000" w:themeColor="text1"/>
        </w:rPr>
        <w:t xml:space="preserve">other </w:t>
      </w:r>
      <w:r w:rsidR="00D91995" w:rsidRPr="00D91995">
        <w:rPr>
          <w:color w:val="000000" w:themeColor="text1"/>
        </w:rPr>
        <w:t xml:space="preserve">comorbid conditions. </w:t>
      </w:r>
      <w:r w:rsidR="00363F72">
        <w:rPr>
          <w:color w:val="000000" w:themeColor="text1"/>
        </w:rPr>
        <w:t>Successful</w:t>
      </w:r>
      <w:r w:rsidR="00D91995" w:rsidRPr="00D91995">
        <w:rPr>
          <w:color w:val="000000" w:themeColor="text1"/>
        </w:rPr>
        <w:t xml:space="preserve"> self-management </w:t>
      </w:r>
      <w:r w:rsidR="00363F72">
        <w:rPr>
          <w:color w:val="000000" w:themeColor="text1"/>
        </w:rPr>
        <w:t>of</w:t>
      </w:r>
      <w:r w:rsidR="00D91995" w:rsidRPr="00D91995">
        <w:rPr>
          <w:color w:val="000000" w:themeColor="text1"/>
        </w:rPr>
        <w:t xml:space="preserve"> ESRD </w:t>
      </w:r>
      <w:r w:rsidR="00E36DA9">
        <w:rPr>
          <w:color w:val="000000" w:themeColor="text1"/>
        </w:rPr>
        <w:t>requires</w:t>
      </w:r>
      <w:r w:rsidR="00C25EF3">
        <w:rPr>
          <w:color w:val="000000" w:themeColor="text1"/>
        </w:rPr>
        <w:t xml:space="preserve"> patients to</w:t>
      </w:r>
      <w:r w:rsidR="00D91995" w:rsidRPr="00D91995">
        <w:rPr>
          <w:color w:val="000000" w:themeColor="text1"/>
        </w:rPr>
        <w:t xml:space="preserve"> </w:t>
      </w:r>
      <w:r w:rsidR="00C25EF3">
        <w:rPr>
          <w:color w:val="000000" w:themeColor="text1"/>
        </w:rPr>
        <w:t>understand</w:t>
      </w:r>
      <w:r w:rsidR="00D91995" w:rsidRPr="00D91995">
        <w:rPr>
          <w:color w:val="000000" w:themeColor="text1"/>
        </w:rPr>
        <w:t xml:space="preserve">, process, and recall the </w:t>
      </w:r>
      <w:r w:rsidR="00C25EF3">
        <w:rPr>
          <w:color w:val="000000" w:themeColor="text1"/>
        </w:rPr>
        <w:t>various</w:t>
      </w:r>
      <w:r w:rsidR="00D91995" w:rsidRPr="00D91995">
        <w:rPr>
          <w:color w:val="000000" w:themeColor="text1"/>
        </w:rPr>
        <w:t xml:space="preserve"> </w:t>
      </w:r>
      <w:r w:rsidR="00C25EF3">
        <w:rPr>
          <w:color w:val="000000" w:themeColor="text1"/>
        </w:rPr>
        <w:t>medical</w:t>
      </w:r>
      <w:r w:rsidR="000173F7">
        <w:rPr>
          <w:color w:val="000000" w:themeColor="text1"/>
        </w:rPr>
        <w:t>/health</w:t>
      </w:r>
      <w:r w:rsidR="00C25EF3">
        <w:rPr>
          <w:color w:val="000000" w:themeColor="text1"/>
        </w:rPr>
        <w:t xml:space="preserve"> </w:t>
      </w:r>
      <w:r w:rsidR="00D91995" w:rsidRPr="00D91995">
        <w:rPr>
          <w:color w:val="000000" w:themeColor="text1"/>
        </w:rPr>
        <w:t>information</w:t>
      </w:r>
      <w:r w:rsidR="00C25EF3">
        <w:rPr>
          <w:color w:val="000000" w:themeColor="text1"/>
        </w:rPr>
        <w:t xml:space="preserve"> provided</w:t>
      </w:r>
      <w:r w:rsidR="00D91995" w:rsidRPr="00D91995">
        <w:rPr>
          <w:color w:val="000000" w:themeColor="text1"/>
        </w:rPr>
        <w:t>, and</w:t>
      </w:r>
      <w:r w:rsidR="00C25EF3">
        <w:rPr>
          <w:color w:val="000000" w:themeColor="text1"/>
        </w:rPr>
        <w:t xml:space="preserve"> to</w:t>
      </w:r>
      <w:r w:rsidR="00D91995" w:rsidRPr="00D91995">
        <w:rPr>
          <w:color w:val="000000" w:themeColor="text1"/>
        </w:rPr>
        <w:t xml:space="preserve"> </w:t>
      </w:r>
      <w:r w:rsidR="00C25EF3">
        <w:rPr>
          <w:color w:val="000000" w:themeColor="text1"/>
        </w:rPr>
        <w:t>translate</w:t>
      </w:r>
      <w:r w:rsidR="00D91995" w:rsidRPr="00D91995">
        <w:rPr>
          <w:color w:val="000000" w:themeColor="text1"/>
        </w:rPr>
        <w:t xml:space="preserve"> this information into appropriate </w:t>
      </w:r>
      <w:r w:rsidR="00B84D6D" w:rsidRPr="00D91995">
        <w:rPr>
          <w:color w:val="000000" w:themeColor="text1"/>
        </w:rPr>
        <w:t xml:space="preserve">self-care plans </w:t>
      </w:r>
      <w:r w:rsidR="00B84D6D">
        <w:rPr>
          <w:color w:val="000000" w:themeColor="text1"/>
        </w:rPr>
        <w:t xml:space="preserve">and </w:t>
      </w:r>
      <w:r w:rsidR="00D91995" w:rsidRPr="00D91995">
        <w:rPr>
          <w:color w:val="000000" w:themeColor="text1"/>
        </w:rPr>
        <w:t xml:space="preserve">actions </w:t>
      </w:r>
      <w:r w:rsidR="00D91995" w:rsidRPr="00D91995">
        <w:rPr>
          <w:color w:val="000000" w:themeColor="text1"/>
        </w:rPr>
        <w:fldChar w:fldCharType="begin" w:fldLock="1"/>
      </w:r>
      <w:r w:rsidR="00D91995" w:rsidRPr="00D91995">
        <w:rPr>
          <w:color w:val="000000" w:themeColor="text1"/>
        </w:rPr>
        <w:instrText>ADDIN CSL_CITATION {"citationItems":[{"id":"ITEM-1","itemData":{"DOI":"10.1093/geronb/61.2.P102","ISSN":"10795014","PMID":"16497953","abstract":"The purpose of this study was to investigate the association between cognitive processes and medication adherence among community-dwelling older adults. Ninety-five participants (M = 78 years) completed a battery of cognitive assessments including measures of executive function, working memory, cued recall, and recognition memory. Medication adherence was examined over 8 weeks for one prescribed medicine by use of an electronic medication-monitoring cap. In a simultaneous regression, the composite of executive function and working memory tasks was the only significant predictor (β = .44, p &lt; .01). Findings suggest that assessments of executive function and working memory can be used to identify community-dwelling older adults who may be at risk for failure to take medicines as prescribed. Copyright 2006 by The Gerontological Society of America.","author":[{"dropping-particle":"","family":"Insel","given":"Kathleen","non-dropping-particle":"","parse-names":false,"suffix":""},{"dropping-particle":"","family":"Morrow","given":"Daniel","non-dropping-particle":"","parse-names":false,"suffix":""},{"dropping-particle":"","family":"Brewer","given":"Barbara","non-dropping-particle":"","parse-names":false,"suffix":""},{"dropping-particle":"","family":"Figueredo","given":"Aurelio","non-dropping-particle":"","parse-names":false,"suffix":""}],"container-title":"Journals of Gerontology - Series B Psychological Sciences and Social Sciences","id":"ITEM-1","issue":"2","issued":{"date-parts":[["2006"]]},"page":"102-107","title":"Executive function, working memory, and medication adherence among older adults","type":"article-journal","volume":"61B"},"uris":["http://www.mendeley.com/documents/?uuid=9f8bdda8-3a7f-4b22-998c-0237d82840ff"]}],"mendeley":{"formattedCitation":"(Insel et al., 2006)","plainTextFormattedCitation":"(Insel et al., 2006)","previouslyFormattedCitation":"(Insel et al., 2006)"},"properties":{"noteIndex":0},"schema":"https://github.com/citation-style-language/schema/raw/master/csl-citation.json"}</w:instrText>
      </w:r>
      <w:r w:rsidR="00D91995" w:rsidRPr="00D91995">
        <w:rPr>
          <w:color w:val="000000" w:themeColor="text1"/>
        </w:rPr>
        <w:fldChar w:fldCharType="separate"/>
      </w:r>
      <w:r w:rsidR="00D91995" w:rsidRPr="00D91995">
        <w:rPr>
          <w:noProof/>
          <w:color w:val="000000" w:themeColor="text1"/>
        </w:rPr>
        <w:t>(Insel et al., 2006)</w:t>
      </w:r>
      <w:r w:rsidR="00D91995" w:rsidRPr="00D91995">
        <w:rPr>
          <w:color w:val="000000" w:themeColor="text1"/>
        </w:rPr>
        <w:fldChar w:fldCharType="end"/>
      </w:r>
      <w:r w:rsidR="00D91995" w:rsidRPr="00D91995">
        <w:rPr>
          <w:color w:val="000000" w:themeColor="text1"/>
        </w:rPr>
        <w:t xml:space="preserve">. </w:t>
      </w:r>
      <w:r w:rsidR="00C645B2">
        <w:rPr>
          <w:color w:val="000000" w:themeColor="text1"/>
        </w:rPr>
        <w:t>These processes involve various cognitive domains including language, memory, and executive function</w:t>
      </w:r>
      <w:r w:rsidR="00956747">
        <w:rPr>
          <w:color w:val="000000" w:themeColor="text1"/>
        </w:rPr>
        <w:t xml:space="preserve"> </w:t>
      </w:r>
      <w:r w:rsidR="00956747" w:rsidRPr="00D91995">
        <w:rPr>
          <w:color w:val="000000" w:themeColor="text1"/>
        </w:rPr>
        <w:fldChar w:fldCharType="begin" w:fldLock="1"/>
      </w:r>
      <w:r w:rsidR="00956747" w:rsidRPr="00D91995">
        <w:rPr>
          <w:color w:val="000000" w:themeColor="text1"/>
        </w:rPr>
        <w:instrText>ADDIN CSL_CITATION {"citationItems":[{"id":"ITEM-1","itemData":{"DOI":"10.1093/geronb/61.2.P102","ISSN":"10795014","PMID":"16497953","abstract":"The purpose of this study was to investigate the association between cognitive processes and medication adherence among community-dwelling older adults. Ninety-five participants (M = 78 years) completed a battery of cognitive assessments including measures of executive function, working memory, cued recall, and recognition memory. Medication adherence was examined over 8 weeks for one prescribed medicine by use of an electronic medication-monitoring cap. In a simultaneous regression, the composite of executive function and working memory tasks was the only significant predictor (β = .44, p &lt; .01). Findings suggest that assessments of executive function and working memory can be used to identify community-dwelling older adults who may be at risk for failure to take medicines as prescribed. Copyright 2006 by The Gerontological Society of America.","author":[{"dropping-particle":"","family":"Insel","given":"Kathleen","non-dropping-particle":"","parse-names":false,"suffix":""},{"dropping-particle":"","family":"Morrow","given":"Daniel","non-dropping-particle":"","parse-names":false,"suffix":""},{"dropping-particle":"","family":"Brewer","given":"Barbara","non-dropping-particle":"","parse-names":false,"suffix":""},{"dropping-particle":"","family":"Figueredo","given":"Aurelio","non-dropping-particle":"","parse-names":false,"suffix":""}],"container-title":"Journals of Gerontology - Series B Psychological Sciences and Social Sciences","id":"ITEM-1","issue":"2","issued":{"date-parts":[["2006"]]},"page":"102-107","title":"Executive function, working memory, and medication adherence among older adults","type":"article-journal","volume":"61B"},"uris":["http://www.mendeley.com/documents/?uuid=9f8bdda8-3a7f-4b22-998c-0237d82840ff"]}],"mendeley":{"formattedCitation":"(Insel et al., 2006)","plainTextFormattedCitation":"(Insel et al., 2006)","previouslyFormattedCitation":"(Insel et al., 2006)"},"properties":{"noteIndex":0},"schema":"https://github.com/citation-style-language/schema/raw/master/csl-citation.json"}</w:instrText>
      </w:r>
      <w:r w:rsidR="00956747" w:rsidRPr="00D91995">
        <w:rPr>
          <w:color w:val="000000" w:themeColor="text1"/>
        </w:rPr>
        <w:fldChar w:fldCharType="separate"/>
      </w:r>
      <w:r w:rsidR="00956747" w:rsidRPr="00D91995">
        <w:rPr>
          <w:noProof/>
          <w:color w:val="000000" w:themeColor="text1"/>
        </w:rPr>
        <w:t>(Insel et al., 2006)</w:t>
      </w:r>
      <w:r w:rsidR="00956747" w:rsidRPr="00D91995">
        <w:rPr>
          <w:color w:val="000000" w:themeColor="text1"/>
        </w:rPr>
        <w:fldChar w:fldCharType="end"/>
      </w:r>
      <w:r w:rsidR="00C645B2">
        <w:rPr>
          <w:color w:val="000000" w:themeColor="text1"/>
        </w:rPr>
        <w:t>.</w:t>
      </w:r>
      <w:r w:rsidR="00956747">
        <w:rPr>
          <w:color w:val="000000" w:themeColor="text1"/>
        </w:rPr>
        <w:t xml:space="preserve"> </w:t>
      </w:r>
      <w:r w:rsidR="00D91995" w:rsidRPr="00D91995">
        <w:rPr>
          <w:color w:val="000000" w:themeColor="text1"/>
        </w:rPr>
        <w:t>For patients with probable CIs</w:t>
      </w:r>
      <w:r w:rsidR="0058735E">
        <w:rPr>
          <w:color w:val="000000" w:themeColor="text1"/>
        </w:rPr>
        <w:t xml:space="preserve"> and especially those whose complaints are persistent</w:t>
      </w:r>
      <w:r w:rsidR="00D91995" w:rsidRPr="00D91995">
        <w:rPr>
          <w:color w:val="000000" w:themeColor="text1"/>
        </w:rPr>
        <w:t>, the cognitive demands of ESRD treatment may be</w:t>
      </w:r>
      <w:r w:rsidR="000173F7">
        <w:rPr>
          <w:color w:val="000000" w:themeColor="text1"/>
        </w:rPr>
        <w:t>come</w:t>
      </w:r>
      <w:r w:rsidR="00D91995" w:rsidRPr="00D91995">
        <w:rPr>
          <w:color w:val="000000" w:themeColor="text1"/>
        </w:rPr>
        <w:t xml:space="preserve"> </w:t>
      </w:r>
      <w:r w:rsidR="001B6BB0">
        <w:rPr>
          <w:color w:val="000000" w:themeColor="text1"/>
        </w:rPr>
        <w:t>particularly burdensome</w:t>
      </w:r>
      <w:r w:rsidR="00D91995" w:rsidRPr="00D91995">
        <w:rPr>
          <w:color w:val="000000" w:themeColor="text1"/>
        </w:rPr>
        <w:t xml:space="preserve">, </w:t>
      </w:r>
      <w:r w:rsidR="001B6BB0">
        <w:rPr>
          <w:color w:val="000000" w:themeColor="text1"/>
        </w:rPr>
        <w:t>thus compromising</w:t>
      </w:r>
      <w:r w:rsidR="00D91995" w:rsidRPr="00D91995">
        <w:rPr>
          <w:color w:val="000000" w:themeColor="text1"/>
        </w:rPr>
        <w:t xml:space="preserve"> </w:t>
      </w:r>
      <w:r w:rsidR="00B74195">
        <w:rPr>
          <w:color w:val="000000" w:themeColor="text1"/>
        </w:rPr>
        <w:t xml:space="preserve">self-confidence, perceived </w:t>
      </w:r>
      <w:r w:rsidR="00D91995" w:rsidRPr="00D91995">
        <w:rPr>
          <w:color w:val="000000" w:themeColor="text1"/>
        </w:rPr>
        <w:t xml:space="preserve">capabilities, and </w:t>
      </w:r>
      <w:r w:rsidR="00725B00">
        <w:rPr>
          <w:color w:val="000000" w:themeColor="text1"/>
        </w:rPr>
        <w:t xml:space="preserve">the </w:t>
      </w:r>
      <w:r w:rsidR="00691412">
        <w:rPr>
          <w:color w:val="000000" w:themeColor="text1"/>
        </w:rPr>
        <w:t xml:space="preserve">actual </w:t>
      </w:r>
      <w:r w:rsidR="00725B00">
        <w:rPr>
          <w:color w:val="000000" w:themeColor="text1"/>
        </w:rPr>
        <w:t xml:space="preserve">implementation of </w:t>
      </w:r>
      <w:r w:rsidR="00B74195">
        <w:rPr>
          <w:color w:val="000000" w:themeColor="text1"/>
        </w:rPr>
        <w:t>self-management activities.</w:t>
      </w:r>
    </w:p>
    <w:p w14:paraId="07FC9A73" w14:textId="093CEDE9" w:rsidR="00E164D0" w:rsidRPr="00577052" w:rsidRDefault="009625C8" w:rsidP="00B30859">
      <w:pPr>
        <w:spacing w:line="480" w:lineRule="auto"/>
        <w:ind w:firstLine="567"/>
        <w:contextualSpacing/>
        <w:rPr>
          <w:lang w:val="en-GB"/>
        </w:rPr>
      </w:pPr>
      <w:r w:rsidRPr="00577052">
        <w:rPr>
          <w:lang w:val="en-GB"/>
        </w:rPr>
        <w:t xml:space="preserve">Importantly, the </w:t>
      </w:r>
      <w:r w:rsidR="00A104FB">
        <w:rPr>
          <w:lang w:val="en-GB"/>
        </w:rPr>
        <w:t>associations between</w:t>
      </w:r>
      <w:r w:rsidRPr="00577052">
        <w:rPr>
          <w:lang w:val="en-GB"/>
        </w:rPr>
        <w:t xml:space="preserve"> SCC trajectories </w:t>
      </w:r>
      <w:r w:rsidR="00A104FB">
        <w:rPr>
          <w:lang w:val="en-GB"/>
        </w:rPr>
        <w:t>and</w:t>
      </w:r>
      <w:r w:rsidRPr="00577052">
        <w:rPr>
          <w:lang w:val="en-GB"/>
        </w:rPr>
        <w:t xml:space="preserve"> clinical and </w:t>
      </w:r>
      <w:r w:rsidR="008022CC">
        <w:rPr>
          <w:lang w:val="en-GB"/>
        </w:rPr>
        <w:t>patient-reported</w:t>
      </w:r>
      <w:r w:rsidRPr="00577052">
        <w:rPr>
          <w:lang w:val="en-GB"/>
        </w:rPr>
        <w:t xml:space="preserve"> outcomes</w:t>
      </w:r>
      <w:r w:rsidR="003E5B78" w:rsidRPr="00577052">
        <w:rPr>
          <w:lang w:val="en-GB"/>
        </w:rPr>
        <w:t xml:space="preserve"> remained significant even after controlling for </w:t>
      </w:r>
      <w:r w:rsidR="000741C8" w:rsidRPr="00577052">
        <w:rPr>
          <w:lang w:val="en-GB"/>
        </w:rPr>
        <w:t xml:space="preserve">changes in </w:t>
      </w:r>
      <w:r w:rsidR="003E5B78" w:rsidRPr="00577052">
        <w:rPr>
          <w:lang w:val="en-GB"/>
        </w:rPr>
        <w:t>mood symptoms.</w:t>
      </w:r>
      <w:r w:rsidR="00141B35" w:rsidRPr="00577052">
        <w:rPr>
          <w:lang w:val="en-GB"/>
        </w:rPr>
        <w:t xml:space="preserve"> </w:t>
      </w:r>
      <w:r w:rsidR="0023328F">
        <w:rPr>
          <w:lang w:val="en-GB"/>
        </w:rPr>
        <w:t xml:space="preserve">In line with prior studies </w:t>
      </w:r>
      <w:r w:rsidR="00C71DD9" w:rsidRPr="00577052">
        <w:rPr>
          <w:lang w:val="en-GB"/>
        </w:rPr>
        <w:fldChar w:fldCharType="begin" w:fldLock="1"/>
      </w:r>
      <w:r w:rsidR="00CC2D6A">
        <w:rPr>
          <w:lang w:val="en-GB"/>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Disease","type":"article-journal","volume":"13"},"uris":["http://www.mendeley.com/documents/?uuid=7dcbe897-3cdc-4e87-9d81-1eb7c8d16362"]},{"id":"ITEM-2","itemData":{"DOI":"10.1016/j.jalz.2016.09.012","ISSN":"15525279","PMID":"27825022","abstract":"Introduction Subjective cognitive decline (SCD) manifesting before clinical impairment could serve as a target population for early intervention trials in Alzheimer's disease (AD). A working group, the Subjective Cognitive Decline Initiative (SCD-I), published SCD research criteria in the context of preclinical AD. To successfully apply them, a number of issues regarding assessment and implementation of SCD needed to be addressed. Methods Members of the SCD-I met to identify and agree on topics relevant to SCD criteria operationalization in research settings. Initial ideas and recommendations were discussed with other SCD-I working group members and modified accordingly. Results Topics included SCD inclusion and exclusion criteria, together with the informant's role in defining SCD presence and the impact of demographic factors. Discussion Recommendations for the operationalization of SCD in differing research settings, with the aim of harmonization of SCD measurement across studies are proposed, to enhance comparability and generalizability across studies.","author":[{"dropping-particle":"","family":"Molinuevo","given":"José L.","non-dropping-particle":"","parse-names":false,"suffix":""},{"dropping-particle":"","family":"Rabin","given":"Laura A.","non-dropping-particle":"","parse-names":false,"suffix":""},{"dropping-particle":"","family":"Amariglio","given":"Rebecca","non-dropping-particle":"","parse-names":false,"suffix":""},{"dropping-particle":"","family":"Buckley","given":"Rachel","non-dropping-particle":"","parse-names":false,"suffix":""},{"dropping-particle":"","family":"Dubois","given":"Bruno","non-dropping-particle":"","parse-names":false,"suffix":""},{"dropping-particle":"","family":"Ellis","given":"Kathryn A.","non-dropping-particle":"","parse-names":false,"suffix":""},{"dropping-particle":"","family":"Ewers","given":"Michael","non-dropping-particle":"","parse-names":false,"suffix":""},{"dropping-particle":"","family":"Hampel","given":"Harald","non-dropping-particle":"","parse-names":false,"suffix":""},{"dropping-particle":"","family":"Klöppel","given":"Stefan","non-dropping-particle":"","parse-names":false,"suffix":""},{"dropping-particle":"","family":"Rami","given":"Lorena","non-dropping-particle":"","parse-names":false,"suffix":""},{"dropping-particle":"","family":"Reisberg","given":"Barry","non-dropping-particle":"","parse-names":false,"suffix":""},{"dropping-particle":"","family":"Saykin","given":"Andrew J.","non-dropping-particle":"","parse-names":false,"suffix":""},{"dropping-particle":"","family":"Sikkes","given":"Sietske","non-dropping-particle":"","parse-names":false,"suffix":""},{"dropping-particle":"","family":"Smart","given":"Colette M.","non-dropping-particle":"","parse-names":false,"suffix":""},{"dropping-particle":"","family":"Snitz","given":"Beth E.","non-dropping-particle":"","parse-names":false,"suffix":""},{"dropping-particle":"","family":"Sperling","given":"Reisa","non-dropping-particle":"","parse-names":false,"suffix":""},{"dropping-particle":"","family":"Flier","given":"Wiesje M.","non-dropping-particle":"van der","parse-names":false,"suffix":""},{"dropping-particle":"","family":"Wagner","given":"Michael","non-dropping-particle":"","parse-names":false,"suffix":""},{"dropping-particle":"","family":"Jessen","given":"Frank","non-dropping-particle":"","parse-names":false,"suffix":""}],"container-title":"Alzheimer's and Dementia","id":"ITEM-2","issue":"3","issued":{"date-parts":[["2017"]]},"page":"296-311","title":"Implementation of subjective cognitive decline criteria in research studies","type":"article-journal","volume":"13"},"uris":["http://www.mendeley.com/documents/?uuid=45fca05d-b9c1-447b-997a-e4125282fa2e"]},{"id":"ITEM-3","itemData":{"DOI":"10.1016/j.jalz.2014.01.001","ISSN":"15525279","PMID":"24798886","abstract":"There is increasing evidence that subjective cognitive decline (SCD) in individuals with unimpaired performance on cognitive tests may represent the first symptomatic manifestation of Alzheimer's disease (AD). The research on SCD in early AD, however, is limited by the absence of common standards. The working group of the Subjective Cognitive Decline Initiative (SCD-I) addressed this deficiency by reaching consensus on terminology and on a conceptual framework for research on SCD in AD. In this publication, research criteria for SCD in pre-mild cognitive impairment (MCI) are presented. In addition, a list of core features proposed for reporting in SCD studies is provided, which will enable comparability of research across different settings. Finally, a set of features is presented, which in accordance with current knowledge, increases the likelihood of the presence of preclinical AD in individuals with SCD. This list is referred to as SCD plus.","author":[{"dropping-particle":"","family":"Jessen","given":"Frank","non-dropping-particle":"","parse-names":false,"suffix":""},{"dropping-particle":"","family":"Amariglio","given":"Rebecca E.","non-dropping-particle":"","parse-names":false,"suffix":""},{"dropping-particle":"","family":"Boxtel","given":"Martin","non-dropping-particle":"Van","parse-names":false,"suffix":""},{"dropping-particle":"","family":"Breteler","given":"Monique","non-dropping-particle":"","parse-names":false,"suffix":""},{"dropping-particle":"","family":"Ceccaldi","given":"Mathieu","non-dropping-particle":"","parse-names":false,"suffix":""},{"dropping-particle":"","family":"Chételat","given":"Gaël","non-dropping-particle":"","parse-names":false,"suffix":""},{"dropping-particle":"","family":"Dubois","given":"Bruno","non-dropping-particle":"","parse-names":false,"suffix":""},{"dropping-particle":"","family":"Dufouil","given":"Carole","non-dropping-particle":"","parse-names":false,"suffix":""},{"dropping-particle":"","family":"Ellis","given":"Kathryn A.","non-dropping-particle":"","parse-names":false,"suffix":""},{"dropping-particle":"","family":"Flier","given":"Wiesje M.","non-dropping-particle":"Van Der","parse-names":false,"suffix":""},{"dropping-particle":"","family":"Glodzik","given":"Lidia","non-dropping-particle":"","parse-names":false,"suffix":""},{"dropping-particle":"","family":"Harten","given":"Argonde C.","non-dropping-particle":"Van","parse-names":false,"suffix":""},{"dropping-particle":"","family":"Leon","given":"Mony J.","non-dropping-particle":"De","parse-names":false,"suffix":""},{"dropping-particle":"","family":"McHugh","given":"Pauline","non-dropping-particle":"","parse-names":false,"suffix":""},{"dropping-particle":"","family":"Mielke","given":"Michelle M.","non-dropping-particle":"","parse-names":false,"suffix":""},{"dropping-particle":"","family":"Molinuevo","given":"Jose Luis","non-dropping-particle":"","parse-names":false,"suffix":""},{"dropping-particle":"","family":"Mosconi","given":"Lisa","non-dropping-particle":"","parse-names":false,"suffix":""},{"dropping-particle":"","family":"Osorio","given":"Ricardo S.","non-dropping-particle":"","parse-names":false,"suffix":""},{"dropping-particle":"","family":"Perrotin","given":"Audrey","non-dropping-particle":"","parse-names":false,"suffix":""},{"dropping-particle":"","family":"Petersen","given":"Ronald C.","non-dropping-particle":"","parse-names":false,"suffix":""},{"dropping-particle":"","family":"Rabin","given":"Laura A.","non-dropping-particle":"","parse-names":false,"suffix":""},{"dropping-particle":"","family":"Rami","given":"Lorena","non-dropping-particle":"","parse-names":false,"suffix":""},{"dropping-particle":"","family":"Reisberg","given":"Barry","non-dropping-particle":"","parse-names":false,"suffix":""},{"dropping-particle":"","family":"Rentz","given":"Dorene M.","non-dropping-particle":"","parse-names":false,"suffix":""},{"dropping-particle":"","family":"Sachdev","given":"Perminder S.","non-dropping-particle":"","parse-names":false,"suffix":""},{"dropping-particle":"","family":"La Sayette","given":"Vincent","non-dropping-particle":"De","parse-names":false,"suffix":""},{"dropping-particle":"","family":"Saykin","given":"Andrew J.","non-dropping-particle":"","parse-names":false,"suffix":""},{"dropping-particle":"","family":"Scheltens","given":"Philip","non-dropping-particle":"","parse-names":false,"suffix":""},{"dropping-particle":"","family":"Shulman","given":"Melanie B.","non-dropping-particle":"","parse-names":false,"suffix":""},{"dropping-particle":"","family":"Slavin","given":"Melissa J.","non-dropping-particle":"","parse-names":false,"suffix":""},{"dropping-particle":"","family":"Sperling","given":"Reisa A.","non-dropping-particle":"","parse-names":false,"suffix":""},{"dropping-particle":"","family":"Stewart","given":"Robert","non-dropping-particle":"","parse-names":false,"suffix":""},{"dropping-particle":"","family":"Uspenskaya","given":"Olga","non-dropping-particle":"","parse-names":false,"suffix":""},{"dropping-particle":"","family":"Vellas","given":"Bruno","non-dropping-particle":"","parse-names":false,"suffix":""},{"dropping-particle":"","family":"Visser","given":"Pieter Jelle","non-dropping-particle":"","parse-names":false,"suffix":""},{"dropping-particle":"","family":"Wagner","given":"Michael","non-dropping-particle":"","parse-names":false,"suffix":""}],"container-title":"Alzheimer's and Dementia","id":"ITEM-3","issue":"6","issued":{"date-parts":[["2014"]]},"page":"844-852","title":"A conceptual framework for research on subjective cognitive decline in preclinical Alzheimer's disease","type":"article-journal","volume":"10"},"uris":["http://www.mendeley.com/documents/?uuid=eed3f943-fa8b-47db-8ced-e2927201b20a"]},{"id":"ITEM-4","itemData":{"DOI":"10.1016/S1474-4422(19)30368-0","ISSN":"14744465","PMID":"31958406","abstract":"A growing awareness about brain health and Alzheimer's disease in the general population is leading to an increasing number of cognitively unimpaired individuals, who are concerned that they have reduced cognitive function, to approach the medical system for help. The term subjective cognitive decline (SCD) was conceived in 2014 to describe this condition. Epidemiological data provide evidence that the risk for mild cognitive impairment and dementia is increased in individuals with SCD. However, the majority of individuals with SCD will not show progressive cognitive decline. An individually tailored diagnostic process might be reasonable to identify or exclude underlying medical conditions in an individual with SCD who actively seeks medical help. An increasing number of studies are investigating the link between SCD and the very early stages of Alzheimer's disease and other neurodegenerative diseases.","author":[{"dropping-particle":"","family":"Jessen","given":"Frank","non-dropping-particle":"","parse-names":false,"suffix":""},{"dropping-particle":"","family":"Amariglio","given":"Rebecca E.","non-dropping-particle":"","parse-names":false,"suffix":""},{"dropping-particle":"","family":"Buckley","given":"Rachel F.","non-dropping-particle":"","parse-names":false,"suffix":""},{"dropping-particle":"","family":"Flier","given":"Wiesje M.","non-dropping-particle":"van der","parse-names":false,"suffix":""},{"dropping-particle":"","family":"Han","given":"Ying","non-dropping-particle":"","parse-names":false,"suffix":""},{"dropping-particle":"","family":"Molinuevo","given":"José Luis","non-dropping-particle":"","parse-names":false,"suffix":""},{"dropping-particle":"","family":"Rabin","given":"Laura","non-dropping-particle":"","parse-names":false,"suffix":""},{"dropping-particle":"","family":"Rentz","given":"Dorene M.","non-dropping-particle":"","parse-names":false,"suffix":""},{"dropping-particle":"","family":"Rodriguez-Gomez","given":"Octavio","non-dropping-particle":"","parse-names":false,"suffix":""},{"dropping-particle":"","family":"Saykin","given":"Andrew J.","non-dropping-particle":"","parse-names":false,"suffix":""},{"dropping-particle":"","family":"Sikkes","given":"Sietske A.M.","non-dropping-particle":"","parse-names":false,"suffix":""},{"dropping-particle":"","family":"Smart","given":"Colette M.","non-dropping-particle":"","parse-names":false,"suffix":""},{"dropping-particle":"","family":"Wolfsgruber","given":"Steffen","non-dropping-particle":"","parse-names":false,"suffix":""},{"dropping-particle":"","family":"Wagner","given":"Michael","non-dropping-particle":"","parse-names":false,"suffix":""}],"container-title":"The Lancet Neurology","id":"ITEM-4","issue":"3","issued":{"date-parts":[["2020"]]},"page":"271-278","title":"The characterisation of subjective cognitive decline","type":"article-journal","volume":"19"},"uris":["http://www.mendeley.com/documents/?uuid=059d808a-f397-46bb-8d3c-4ff56ed15536"]}],"mendeley":{"formattedCitation":"(Jessen et al., 2014, 2020; Molinuevo et al., 2017; Rabin et al., 2017)","plainTextFormattedCitation":"(Jessen et al., 2014, 2020; Molinuevo et al., 2017; Rabin et al., 2017)","previouslyFormattedCitation":"(Jessen et al., 2014, 2020; Molinuevo et al., 2017; Rabin et al., 2017)"},"properties":{"noteIndex":0},"schema":"https://github.com/citation-style-language/schema/raw/master/csl-citation.json"}</w:instrText>
      </w:r>
      <w:r w:rsidR="00C71DD9" w:rsidRPr="00577052">
        <w:rPr>
          <w:lang w:val="en-GB"/>
        </w:rPr>
        <w:fldChar w:fldCharType="separate"/>
      </w:r>
      <w:r w:rsidR="007D6381" w:rsidRPr="007D6381">
        <w:rPr>
          <w:noProof/>
          <w:lang w:val="en-GB"/>
        </w:rPr>
        <w:t>(Jessen et al., 2014, 2020; Molinuevo et al., 2017; Rabin et al., 2017)</w:t>
      </w:r>
      <w:r w:rsidR="00C71DD9" w:rsidRPr="00577052">
        <w:rPr>
          <w:lang w:val="en-GB"/>
        </w:rPr>
        <w:fldChar w:fldCharType="end"/>
      </w:r>
      <w:r w:rsidR="0023328F">
        <w:rPr>
          <w:lang w:val="en-GB"/>
        </w:rPr>
        <w:t>, our study findings also showed significant associations and covariation between mood and cognitive complaints. I</w:t>
      </w:r>
      <w:r w:rsidR="00A86109" w:rsidRPr="00577052">
        <w:rPr>
          <w:lang w:val="en-GB"/>
        </w:rPr>
        <w:t xml:space="preserve">ndividuals with depression and anxiety </w:t>
      </w:r>
      <w:r w:rsidR="00374FB1">
        <w:rPr>
          <w:lang w:val="en-GB"/>
        </w:rPr>
        <w:t xml:space="preserve">may </w:t>
      </w:r>
      <w:r w:rsidR="00A86109" w:rsidRPr="00577052">
        <w:rPr>
          <w:lang w:val="en-GB"/>
        </w:rPr>
        <w:t xml:space="preserve">exhibit information-processing biases which make them </w:t>
      </w:r>
      <w:r w:rsidR="00282CC9" w:rsidRPr="00577052">
        <w:rPr>
          <w:lang w:val="en-GB"/>
        </w:rPr>
        <w:t>hypersensitive</w:t>
      </w:r>
      <w:r w:rsidR="00A86109" w:rsidRPr="00577052">
        <w:rPr>
          <w:lang w:val="en-GB"/>
        </w:rPr>
        <w:t xml:space="preserve"> </w:t>
      </w:r>
      <w:r w:rsidR="00282CC9" w:rsidRPr="00577052">
        <w:rPr>
          <w:lang w:val="en-GB"/>
        </w:rPr>
        <w:t>to</w:t>
      </w:r>
      <w:r w:rsidR="00F020F3" w:rsidRPr="00577052">
        <w:rPr>
          <w:lang w:val="en-GB"/>
        </w:rPr>
        <w:t xml:space="preserve"> experience</w:t>
      </w:r>
      <w:r w:rsidR="00230B12" w:rsidRPr="00577052">
        <w:rPr>
          <w:lang w:val="en-GB"/>
        </w:rPr>
        <w:t xml:space="preserve"> of</w:t>
      </w:r>
      <w:r w:rsidR="00A86109" w:rsidRPr="00577052">
        <w:rPr>
          <w:lang w:val="en-GB"/>
        </w:rPr>
        <w:t xml:space="preserve"> failure in everyday cognitive tasks, resulting in an </w:t>
      </w:r>
      <w:r w:rsidR="00F767E1" w:rsidRPr="00577052">
        <w:rPr>
          <w:lang w:val="en-GB"/>
        </w:rPr>
        <w:t>overestimation</w:t>
      </w:r>
      <w:r w:rsidR="00A86109" w:rsidRPr="00577052">
        <w:rPr>
          <w:lang w:val="en-GB"/>
        </w:rPr>
        <w:t xml:space="preserve"> of SCCs </w:t>
      </w:r>
      <w:r w:rsidR="00A86109" w:rsidRPr="00577052">
        <w:rPr>
          <w:lang w:val="en-GB"/>
        </w:rPr>
        <w:fldChar w:fldCharType="begin" w:fldLock="1"/>
      </w:r>
      <w:r w:rsidR="00CC2D6A">
        <w:rPr>
          <w:lang w:val="en-GB"/>
        </w:rPr>
        <w:instrText>ADDIN CSL_CITATION {"citationItems":[{"id":"ITEM-1","itemData":{"DOI":"10.1146/annurev-clinpsy-032816-045136","ISSN":"15485951","PMID":"28482688","abstract":"Older adults with subjective cognitive decline (SCD) in the absence of objective neuropsychological dysfunction are increasingly viewed as at risk for non-normative cognitive decline and eventual progression to Alzheimer's disease (AD) dementia. The past decade has witnessed tremendous growth in research on SCD, which may reflect the recognition of SCD as the earliest symptomatic manifestation of AD. Yet methodological challenges associated with establishing common assessment and classification procedures hamper the construct. This article reviews essential features of SCD associated with preclinical AD and current measurement approaches, highlighting challenges in harmonizing study findings across settings. We consider the relation of SCD to important variables and outcomes (e.g., AD biomarkers, clinical progression). We also examine the role of self- and informant-reports in SCD and various psychological, medical, and demographic factors that influence the self-report of cognition. We conclude with a discussion of intervention strategies for SCD, ethical considerations, and future research priorities.","author":[{"dropping-particle":"","family":"Rabin","given":"Laura A.","non-dropping-particle":"","parse-names":false,"suffix":""},{"dropping-particle":"","family":"Smart","given":"Colette M.","non-dropping-particle":"","parse-names":false,"suffix":""},{"dropping-particle":"","family":"Amariglio","given":"Rebecca E.","non-dropping-particle":"","parse-names":false,"suffix":""}],"container-title":"Annual Review of Clinical Psychology","id":"ITEM-1","issued":{"date-parts":[["2017"]]},"page":"369-396","title":"Subjective Cognitive Decline in Preclinical Alzheimer’s Disease","type":"article-journal","volume":"13"},"uris":["http://www.mendeley.com/documents/?uuid=7dcbe897-3cdc-4e87-9d81-1eb7c8d16362"]}],"mendeley":{"formattedCitation":"(Rabin et al., 2017)","plainTextFormattedCitation":"(Rabin et al., 2017)","previouslyFormattedCitation":"(Rabin et al., 2017)"},"properties":{"noteIndex":0},"schema":"https://github.com/citation-style-language/schema/raw/master/csl-citation.json"}</w:instrText>
      </w:r>
      <w:r w:rsidR="00A86109" w:rsidRPr="00577052">
        <w:rPr>
          <w:lang w:val="en-GB"/>
        </w:rPr>
        <w:fldChar w:fldCharType="separate"/>
      </w:r>
      <w:r w:rsidR="007D6381" w:rsidRPr="007D6381">
        <w:rPr>
          <w:noProof/>
          <w:lang w:val="en-GB"/>
        </w:rPr>
        <w:t>(Rabin et al., 2017)</w:t>
      </w:r>
      <w:r w:rsidR="00A86109" w:rsidRPr="00577052">
        <w:rPr>
          <w:lang w:val="en-GB"/>
        </w:rPr>
        <w:fldChar w:fldCharType="end"/>
      </w:r>
      <w:r w:rsidR="00A86109" w:rsidRPr="00577052">
        <w:rPr>
          <w:lang w:val="en-GB"/>
        </w:rPr>
        <w:t>.</w:t>
      </w:r>
      <w:r w:rsidR="005E6081" w:rsidRPr="00577052">
        <w:rPr>
          <w:lang w:val="en-GB"/>
        </w:rPr>
        <w:t xml:space="preserve"> O</w:t>
      </w:r>
      <w:r w:rsidR="00054106" w:rsidRPr="00577052">
        <w:rPr>
          <w:lang w:val="en-GB"/>
        </w:rPr>
        <w:t>ur</w:t>
      </w:r>
      <w:r w:rsidR="0000505D">
        <w:rPr>
          <w:lang w:val="en-GB"/>
        </w:rPr>
        <w:t xml:space="preserve"> sensitivity</w:t>
      </w:r>
      <w:r w:rsidR="00054106" w:rsidRPr="00577052">
        <w:rPr>
          <w:lang w:val="en-GB"/>
        </w:rPr>
        <w:t xml:space="preserve"> </w:t>
      </w:r>
      <w:r w:rsidR="00054106" w:rsidRPr="00577052">
        <w:rPr>
          <w:lang w:val="en-GB"/>
        </w:rPr>
        <w:lastRenderedPageBreak/>
        <w:t>analyses</w:t>
      </w:r>
      <w:r w:rsidR="005C1FE7" w:rsidRPr="00577052">
        <w:rPr>
          <w:lang w:val="en-GB"/>
        </w:rPr>
        <w:t xml:space="preserve"> </w:t>
      </w:r>
      <w:r w:rsidR="00374FB1">
        <w:rPr>
          <w:lang w:val="en-GB"/>
        </w:rPr>
        <w:t>confirmed</w:t>
      </w:r>
      <w:r w:rsidR="00374FB1" w:rsidRPr="00577052">
        <w:rPr>
          <w:lang w:val="en-GB"/>
        </w:rPr>
        <w:t xml:space="preserve"> </w:t>
      </w:r>
      <w:r w:rsidR="005C1FE7" w:rsidRPr="00577052">
        <w:rPr>
          <w:lang w:val="en-GB"/>
        </w:rPr>
        <w:t xml:space="preserve">that </w:t>
      </w:r>
      <w:r w:rsidR="00054106" w:rsidRPr="00577052">
        <w:rPr>
          <w:lang w:val="en-GB"/>
        </w:rPr>
        <w:t xml:space="preserve">the </w:t>
      </w:r>
      <w:r w:rsidR="00023C32" w:rsidRPr="00577052">
        <w:rPr>
          <w:lang w:val="en-GB"/>
        </w:rPr>
        <w:t xml:space="preserve">SCCs may explain additional variance in </w:t>
      </w:r>
      <w:r w:rsidR="00374FB1">
        <w:rPr>
          <w:lang w:val="en-GB"/>
        </w:rPr>
        <w:t xml:space="preserve">HD patients’ </w:t>
      </w:r>
      <w:r w:rsidR="00023C32" w:rsidRPr="00577052">
        <w:rPr>
          <w:lang w:val="en-GB"/>
        </w:rPr>
        <w:t>clinical and behavioural outcomes on top of depression and anxiety.</w:t>
      </w:r>
    </w:p>
    <w:p w14:paraId="5F05933D" w14:textId="7BD20AEB" w:rsidR="00256F36" w:rsidRDefault="00E164D0" w:rsidP="00256F36">
      <w:pPr>
        <w:spacing w:line="480" w:lineRule="auto"/>
        <w:ind w:firstLine="567"/>
        <w:contextualSpacing/>
        <w:rPr>
          <w:color w:val="000000" w:themeColor="text1"/>
          <w:lang w:val="en-GB"/>
        </w:rPr>
      </w:pPr>
      <w:r w:rsidRPr="0058182F">
        <w:rPr>
          <w:color w:val="000000" w:themeColor="text1"/>
        </w:rPr>
        <w:t xml:space="preserve">To date, the practical implications of CIs in ESRD patients are </w:t>
      </w:r>
      <w:r w:rsidR="0000505D">
        <w:rPr>
          <w:color w:val="000000" w:themeColor="text1"/>
        </w:rPr>
        <w:t>not well</w:t>
      </w:r>
      <w:r w:rsidR="0000505D" w:rsidRPr="0058182F">
        <w:rPr>
          <w:color w:val="000000" w:themeColor="text1"/>
        </w:rPr>
        <w:t xml:space="preserve"> </w:t>
      </w:r>
      <w:r w:rsidRPr="0058182F">
        <w:rPr>
          <w:color w:val="000000" w:themeColor="text1"/>
        </w:rPr>
        <w:t xml:space="preserve">understood. Few studies have investigated the impact of CIs on self-care behaviour in this population. Hain </w:t>
      </w:r>
      <w:r w:rsidRPr="0058182F">
        <w:rPr>
          <w:color w:val="000000" w:themeColor="text1"/>
        </w:rPr>
        <w:fldChar w:fldCharType="begin" w:fldLock="1"/>
      </w:r>
      <w:r w:rsidR="00F113F7">
        <w:rPr>
          <w:color w:val="000000" w:themeColor="text1"/>
        </w:rPr>
        <w:instrText>ADDIN CSL_CITATION {"citationItems":[{"id":"ITEM-1","itemData":{"ISSN":"1526744X","PMID":"18372760","abstract":"As the number of older adults undergoing hemodialysis increases, it is important for nurses to consider cognitive impairment as a contributing factor to non-adherence. The purpose of this exploratory study was to identify cognitive markers that nurses can use to alert them to potential problems with adherence among older adults undergoing hemodialysis. Stories of the health challenge of making lifestyle change were analyzed with a linguistic analysis software program. A standardized instrument (3MS) that measures global cognitive function was administered. Determination of adherence level was the last activity of data collection. In this sample (n=63), 39.7% of the participants had evidence of cognitive impairment (3MS score less than 80); 58.2% of the 39.7% had evidence of non-adherence. There was a significant relationship between word use and cognitive function (p &lt; .01). Cognitive impairment is prevalent among older adults undergoing hemodialysis and words might be a proxy for recognizing this.","author":[{"dropping-particle":"","family":"Hain","given":"Debra J.","non-dropping-particle":"","parse-names":false,"suffix":""}],"container-title":"Nephrology Nursing Journal","id":"ITEM-1","issue":"1","issued":{"date-parts":[["2008"]]},"page":"23-29","title":"Cognitive function and adherence of older adults undergoing hemodialysis","type":"article-journal","volume":"35"},"suppress-author":1,"uris":["http://www.mendeley.com/documents/?uuid=6cf078de-4cb3-48c0-9eb2-887e7a99c01e"]}],"mendeley":{"formattedCitation":"(2008)","plainTextFormattedCitation":"(2008)","previouslyFormattedCitation":"(2008)"},"properties":{"noteIndex":0},"schema":"https://github.com/citation-style-language/schema/raw/master/csl-citation.json"}</w:instrText>
      </w:r>
      <w:r w:rsidRPr="0058182F">
        <w:rPr>
          <w:color w:val="000000" w:themeColor="text1"/>
        </w:rPr>
        <w:fldChar w:fldCharType="separate"/>
      </w:r>
      <w:r w:rsidR="00145CE3" w:rsidRPr="00145CE3">
        <w:rPr>
          <w:noProof/>
          <w:color w:val="000000" w:themeColor="text1"/>
        </w:rPr>
        <w:t>(2008)</w:t>
      </w:r>
      <w:r w:rsidRPr="0058182F">
        <w:rPr>
          <w:color w:val="000000" w:themeColor="text1"/>
        </w:rPr>
        <w:fldChar w:fldCharType="end"/>
      </w:r>
      <w:r w:rsidRPr="0058182F">
        <w:rPr>
          <w:color w:val="000000" w:themeColor="text1"/>
        </w:rPr>
        <w:t xml:space="preserve"> found that 58.2% of patients with</w:t>
      </w:r>
      <w:r w:rsidR="00145CE3">
        <w:rPr>
          <w:color w:val="000000" w:themeColor="text1"/>
        </w:rPr>
        <w:t xml:space="preserve"> objective</w:t>
      </w:r>
      <w:r w:rsidRPr="0058182F">
        <w:rPr>
          <w:color w:val="000000" w:themeColor="text1"/>
        </w:rPr>
        <w:t xml:space="preserve"> CIs had evidence of nonadherence based on their attendance at dialysis sessions, serum phosphorus, and interdialytic weight gain, </w:t>
      </w:r>
      <w:r w:rsidR="00145CE3">
        <w:rPr>
          <w:color w:val="000000" w:themeColor="text1"/>
        </w:rPr>
        <w:t xml:space="preserve">but </w:t>
      </w:r>
      <w:r w:rsidRPr="0058182F">
        <w:rPr>
          <w:color w:val="000000" w:themeColor="text1"/>
        </w:rPr>
        <w:t xml:space="preserve">no statistical test </w:t>
      </w:r>
      <w:r w:rsidR="00145CE3">
        <w:rPr>
          <w:color w:val="000000" w:themeColor="text1"/>
          <w:lang w:val="en-GB"/>
        </w:rPr>
        <w:t>was</w:t>
      </w:r>
      <w:r w:rsidRPr="0058182F">
        <w:rPr>
          <w:color w:val="000000" w:themeColor="text1"/>
          <w:lang w:val="en-GB"/>
        </w:rPr>
        <w:t xml:space="preserve"> performed to examine </w:t>
      </w:r>
      <w:r w:rsidR="00145CE3">
        <w:rPr>
          <w:color w:val="000000" w:themeColor="text1"/>
          <w:lang w:val="en-GB"/>
        </w:rPr>
        <w:t>these associations</w:t>
      </w:r>
      <w:r w:rsidRPr="0058182F">
        <w:rPr>
          <w:color w:val="000000" w:themeColor="text1"/>
          <w:lang w:val="en-GB"/>
        </w:rPr>
        <w:t xml:space="preserve">. Two other studies found that better </w:t>
      </w:r>
      <w:proofErr w:type="spellStart"/>
      <w:r w:rsidRPr="0058182F">
        <w:rPr>
          <w:color w:val="000000" w:themeColor="text1"/>
          <w:lang w:val="en-GB"/>
        </w:rPr>
        <w:t>everyday</w:t>
      </w:r>
      <w:proofErr w:type="spellEnd"/>
      <w:r w:rsidRPr="0058182F">
        <w:rPr>
          <w:color w:val="000000" w:themeColor="text1"/>
          <w:lang w:val="en-GB"/>
        </w:rPr>
        <w:t xml:space="preserve"> problem-solving abilities, assessed by a scenario-based task, were associated </w:t>
      </w:r>
      <w:r w:rsidR="004657C0">
        <w:rPr>
          <w:color w:val="000000" w:themeColor="text1"/>
          <w:lang w:val="en-GB"/>
        </w:rPr>
        <w:t xml:space="preserve">with </w:t>
      </w:r>
      <w:r w:rsidRPr="0058182F">
        <w:rPr>
          <w:color w:val="000000" w:themeColor="text1"/>
          <w:lang w:val="en-GB"/>
        </w:rPr>
        <w:t>better medication adherence</w:t>
      </w:r>
      <w:r w:rsidR="00D34A44" w:rsidRPr="00D34A44">
        <w:rPr>
          <w:color w:val="000000" w:themeColor="text1"/>
          <w:lang w:val="en-GB"/>
        </w:rPr>
        <w:t xml:space="preserve"> </w:t>
      </w:r>
      <w:r w:rsidR="00D34A44">
        <w:rPr>
          <w:color w:val="000000" w:themeColor="text1"/>
          <w:lang w:val="en-GB"/>
        </w:rPr>
        <w:t>in</w:t>
      </w:r>
      <w:r w:rsidR="00D34A44" w:rsidRPr="0058182F">
        <w:rPr>
          <w:color w:val="000000" w:themeColor="text1"/>
          <w:lang w:val="en-GB"/>
        </w:rPr>
        <w:t xml:space="preserve"> kidney transplantation recipients</w:t>
      </w:r>
      <w:r w:rsidRPr="0058182F">
        <w:rPr>
          <w:color w:val="000000" w:themeColor="text1"/>
          <w:lang w:val="en-GB"/>
        </w:rPr>
        <w:t xml:space="preserve"> </w:t>
      </w:r>
      <w:r w:rsidRPr="0058182F">
        <w:rPr>
          <w:color w:val="000000" w:themeColor="text1"/>
          <w:lang w:val="en-GB"/>
        </w:rPr>
        <w:fldChar w:fldCharType="begin" w:fldLock="1"/>
      </w:r>
      <w:r w:rsidR="00CC2D6A" w:rsidRPr="0058182F">
        <w:rPr>
          <w:color w:val="000000" w:themeColor="text1"/>
          <w:lang w:val="en-GB"/>
        </w:rPr>
        <w:instrText>ADDIN CSL_CITATION {"citationItems":[{"id":"ITEM-1","itemData":{"DOI":"10.1037/a0018670","ISSN":"08944105","PMID":"20604625","abstract":"Objective: The authors investigated the utility of both traditional and everyday cognitive measures in predicting medication adherence and employment status among kidney transplant recipients. In addition, the role of noncognitive predictors was examined. Method: Cognitive measures of processing speed, memory, everyday problem solving, executive functioning, and questionnaires assessing mood, medication adherence, and employment status were individually administered to 108 kidney transplant recipients. Because the eligibility criteria differed for the two analyses, there were 103 participants in the medication adherence analyses and 94 participants in the employment analyses. Stepwise hierarchical regression and sequential binomial logistic regression analyses were conducted for continuous and dichotomous outcome measures, respectively. Results: Findings indicate that both poorer performance on the everyday problem-solving test and a higher number of depressive symptoms were predictive of poorer self-reported medication adherence (R2 = .19, p &lt; .01). Furthermore, being on antidepressant medication, having a higher number of depressive symptoms, and poorer performance on traditional neuropsychological measures were predictive of fewer hours worked (Nagelkerke's R2 = .29, ps &lt;05). Conclusions: This study highlights the differential associations between neurocognitive and psychosocial status, and medication adherence and employment status following kidney transplantation. The findings suggest that the relative importance of traditional and everyday measures is dependent upon the outcome examined. © 2010 American Psychological Association.","author":[{"dropping-particle":"","family":"Gelb","given":"Shannon R.","non-dropping-particle":"","parse-names":false,"suffix":""},{"dropping-particle":"","family":"Shapiro","given":"R. J.","non-dropping-particle":"","parse-names":false,"suffix":""},{"dropping-particle":"","family":"Thornton","given":"Wendy Loken","non-dropping-particle":"","parse-names":false,"suffix":""}],"container-title":"Neuropsychology","id":"ITEM-1","issue":"4","issued":{"date-parts":[["2010"]]},"page":"514-526","title":"Predicting Medication Adherence and Employment Status Following Kidney Transplant: The Relative Utility of Traditional and Everyday Cognitive Approaches","type":"article-journal","volume":"24"},"uris":["http://www.mendeley.com/documents/?uuid=4ed2decb-cba7-409c-ae47-f7a73519bd50"]},{"id":"ITEM-2","itemData":{"DOI":"10.1371/journal.pone.0204219","ISBN":"1111111111","ISSN":"19326203","PMID":"30265697","abstract":"Objective Estimates indicate that 20–70% of renal transplant recipients are medication non-adherent, significantly increasing the risk of organ rejection. Medication adherence is negatively impacted by lower everyday problem solving ability, and associations between depressive symptoms, self-efficacy, and adherence are reported in renal transplant recipients. Nonetheless, to date, these associations have not been examined concurrently. Given the relationship between non-adherence and organ rejection, it is critical to gain a better understanding of the predictors of adherence in renal transplant recipients. To this end, we modeled relationships among cognitive abilities, depressive symptoms, self-efficacy, and adherence in this group. Methods Participants (N = 211) underwent renal transplant at least one year prior to participation. Adherence was measured via self-report, medication possession ratio, and immunosuppressant blood-level. Traditionally-measured neurocognitive and everyday problem-solving abilities were assessed. Depressive symptoms were measured via self-report, as were general and medication adherence related self-efficacy. Structural equation modeling was used to assess the fit of the model to available data. Results Everyday problem solving and self-efficacy had direct positive associations with adherence. Depressive symptoms were negatively associated with self-efficacy, but not adherence. Traditionally-measured neurocognitive abilities were positively associated with self-efficacy, and negatively associated with depressive symptoms. Conclusions We present a comprehensive investigation of relationships between cognitive and psychosocial factors and adherence in medically stable renal transplant recipients. Findings confirm the importance of everyday problem solving and self-efficacy in predicting adherence and suggest that influences of depressive symptoms and neurocognitive abilities are indirect. Findings have important implications for future development of interventions to improve medication adherence in renal transplant recipients.","author":[{"dropping-particle":"","family":"Paterson","given":"Theone S. E.","non-dropping-particle":"","parse-names":false,"suffix":""},{"dropping-particle":"","family":"O’Rourke","given":"Norm","non-dropping-particle":"","parse-names":false,"suffix":""},{"dropping-particle":"","family":"Jean Shapiro","given":"R.","non-dropping-particle":"","parse-names":false,"suffix":""},{"dropping-particle":"","family":"Thornton","given":"Wendy Loken","non-dropping-particle":"","parse-names":false,"suffix":""}],"container-title":"PLoS ONE","id":"ITEM-2","issue":"9","issued":{"date-parts":[["2018"]]},"page":"e0204219","title":"Medication adherence in renal transplant recipients: A latent variable model of psychosocial and neurocognitive predictors","type":"article-journal","volume":"13"},"uris":["http://www.mendeley.com/documents/?uuid=6547c237-ea40-46e2-a4ec-4d0f4e0e61b6"]}],"mendeley":{"formattedCitation":"(Gelb et al., 2010; Paterson et al., 2018)","plainTextFormattedCitation":"(Gelb et al., 2010; Paterson et al., 2018)","previouslyFormattedCitation":"(Gelb et al., 2010; Paterson et al., 2018)"},"properties":{"noteIndex":0},"schema":"https://github.com/citation-style-language/schema/raw/master/csl-citation.json"}</w:instrText>
      </w:r>
      <w:r w:rsidRPr="0058182F">
        <w:rPr>
          <w:color w:val="000000" w:themeColor="text1"/>
          <w:lang w:val="en-GB"/>
        </w:rPr>
        <w:fldChar w:fldCharType="separate"/>
      </w:r>
      <w:r w:rsidR="007D6381" w:rsidRPr="0058182F">
        <w:rPr>
          <w:noProof/>
          <w:color w:val="000000" w:themeColor="text1"/>
          <w:lang w:val="en-GB"/>
        </w:rPr>
        <w:t>(Gelb et al., 2010; Paterson et al., 2018)</w:t>
      </w:r>
      <w:r w:rsidRPr="0058182F">
        <w:rPr>
          <w:color w:val="000000" w:themeColor="text1"/>
          <w:lang w:val="en-GB"/>
        </w:rPr>
        <w:fldChar w:fldCharType="end"/>
      </w:r>
      <w:r w:rsidRPr="0058182F">
        <w:rPr>
          <w:color w:val="000000" w:themeColor="text1"/>
          <w:lang w:val="en-GB"/>
        </w:rPr>
        <w:t xml:space="preserve">. </w:t>
      </w:r>
      <w:r w:rsidR="00D34A44">
        <w:rPr>
          <w:color w:val="000000" w:themeColor="text1"/>
          <w:lang w:val="en-GB"/>
        </w:rPr>
        <w:t>S</w:t>
      </w:r>
      <w:r w:rsidRPr="0058182F">
        <w:rPr>
          <w:color w:val="000000" w:themeColor="text1"/>
          <w:lang w:val="en-GB"/>
        </w:rPr>
        <w:t xml:space="preserve">tudies in other populations such as community-dwelling older adults </w:t>
      </w:r>
      <w:r w:rsidRPr="0058182F">
        <w:rPr>
          <w:color w:val="000000" w:themeColor="text1"/>
          <w:lang w:val="en-GB"/>
        </w:rPr>
        <w:fldChar w:fldCharType="begin" w:fldLock="1"/>
      </w:r>
      <w:r w:rsidR="00CC2D6A" w:rsidRPr="0058182F">
        <w:rPr>
          <w:color w:val="000000" w:themeColor="text1"/>
          <w:lang w:val="en-GB"/>
        </w:rPr>
        <w:instrText>ADDIN CSL_CITATION {"citationItems":[{"id":"ITEM-1","itemData":{"DOI":"10.1093/geronb/61.2.P102","ISSN":"10795014","PMID":"16497953","abstract":"The purpose of this study was to investigate the association between cognitive processes and medication adherence among community-dwelling older adults. Ninety-five participants (M = 78 years) completed a battery of cognitive assessments including measures of executive function, working memory, cued recall, and recognition memory. Medication adherence was examined over 8 weeks for one prescribed medicine by use of an electronic medication-monitoring cap. In a simultaneous regression, the composite of executive function and working memory tasks was the only significant predictor (β = .44, p &lt; .01). Findings suggest that assessments of executive function and working memory can be used to identify community-dwelling older adults who may be at risk for failure to take medicines as prescribed. Copyright 2006 by The Gerontological Society of America.","author":[{"dropping-particle":"","family":"Insel","given":"Kathleen","non-dropping-particle":"","parse-names":false,"suffix":""},{"dropping-particle":"","family":"Morrow","given":"Daniel","non-dropping-particle":"","parse-names":false,"suffix":""},{"dropping-particle":"","family":"Brewer","given":"Barbara","non-dropping-particle":"","parse-names":false,"suffix":""},{"dropping-particle":"","family":"Figueredo","given":"Aurelio","non-dropping-particle":"","parse-names":false,"suffix":""}],"container-title":"Journals of Gerontology - Series B Psychological Sciences and Social Sciences","id":"ITEM-1","issue":"2","issued":{"date-parts":[["2006"]]},"page":"102-107","title":"Executive function, working memory, and medication adherence among older adults","type":"article-journal","volume":"61B"},"uris":["http://www.mendeley.com/documents/?uuid=9f8bdda8-3a7f-4b22-998c-0237d82840ff"]}],"mendeley":{"formattedCitation":"(Insel et al., 2006)","plainTextFormattedCitation":"(Insel et al., 2006)","previouslyFormattedCitation":"(Insel et al., 2006)"},"properties":{"noteIndex":0},"schema":"https://github.com/citation-style-language/schema/raw/master/csl-citation.json"}</w:instrText>
      </w:r>
      <w:r w:rsidRPr="0058182F">
        <w:rPr>
          <w:color w:val="000000" w:themeColor="text1"/>
          <w:lang w:val="en-GB"/>
        </w:rPr>
        <w:fldChar w:fldCharType="separate"/>
      </w:r>
      <w:r w:rsidR="007D6381" w:rsidRPr="0058182F">
        <w:rPr>
          <w:noProof/>
          <w:color w:val="000000" w:themeColor="text1"/>
          <w:lang w:val="en-GB"/>
        </w:rPr>
        <w:t>(Insel et al., 2006)</w:t>
      </w:r>
      <w:r w:rsidRPr="0058182F">
        <w:rPr>
          <w:color w:val="000000" w:themeColor="text1"/>
          <w:lang w:val="en-GB"/>
        </w:rPr>
        <w:fldChar w:fldCharType="end"/>
      </w:r>
      <w:r w:rsidRPr="0058182F">
        <w:rPr>
          <w:color w:val="000000" w:themeColor="text1"/>
          <w:lang w:val="en-GB"/>
        </w:rPr>
        <w:t xml:space="preserve">, heart failure </w:t>
      </w:r>
      <w:r w:rsidRPr="0058182F">
        <w:rPr>
          <w:color w:val="000000" w:themeColor="text1"/>
          <w:lang w:val="en-GB"/>
        </w:rPr>
        <w:fldChar w:fldCharType="begin" w:fldLock="1"/>
      </w:r>
      <w:r w:rsidR="00CC2D6A" w:rsidRPr="0058182F">
        <w:rPr>
          <w:color w:val="000000" w:themeColor="text1"/>
          <w:lang w:val="en-GB"/>
        </w:rPr>
        <w:instrText>ADDIN CSL_CITATION {"citationItems":[{"id":"ITEM-1","itemData":{"DOI":"10.1097/PSY.0b013e318272ef2a","ISSN":"15347796","PMID":"23115344","abstract":"Objective: Treatment recommendation and guidelines for patients with heart failure (HF) can be complex, and past work has shown that patients with HF demonstrate low rates of adherence to recommended health behaviors. Although previous work has idenattention, executive function, heart failure, treatment adherence, cognitive impairmenttified several medical, demographic, and psychosocial predictors of the capacity to adhere to treatment recommendations of persons with HF, little is known about the contribution of cognitive impairment to reported treatment adherence in this population. Methods: A total of 149 persons with HF (mean [standard deviation] = 68.08 [10.74] years) completed a brief fitness assessment and neuropsychological testing. Treatment adherence was assessed using the Heart Failure Compliance Questionnaire, a brief measure that asks participants to report their adherence to a variety of recommended health behaviors (i.e., medication management, diet, and exercise, among others). Results: The percentage of participants who reported poor overall adherence was 16.1%, with particularly high rates of nonadherence to dietary and exercise recommendations. Hierarchical regression analyses adjusting for possible confounds revealed that reduced performance on attention (β = .26, p = .01), executive function (β = .18, p = .04), and language (β = .22, p = .01) was associated with poorer overall adherence. Follow-up analyses showed that these cognitive domains were associated with behaviors such as keeping doctor appointments, medication management, and dietary recommendations (p &lt; .05 for all). Conclusions: The current findings demonstrate that cognitive function is an independent contributor to adherence in older adults with HF. Prospective studies that Objectively measure treatment adherence are needed to clarify these findings and identify possible strategies to improve outcomes in this population. Trial Registration: clinicaltrials.gov Identifier: NCT00871897. © 2012 by the American Psychosomatic Society.","author":[{"dropping-particle":"","family":"Alosco","given":"Michael L.","non-dropping-particle":"","parse-names":false,"suffix":""},{"dropping-particle":"","family":"Spitznagel","given":"Mary Beth","non-dropping-particle":"","parse-names":false,"suffix":""},{"dropping-particle":"","family":"Dulmen","given":"Manfred","non-dropping-particle":"Van","parse-names":false,"suffix":""},{"dropping-particle":"","family":"Raz","given":"Naftali","non-dropping-particle":"","parse-names":false,"suffix":""},{"dropping-particle":"","family":"Cohen","given":"Ronald","non-dropping-particle":"","parse-names":false,"suffix":""},{"dropping-particle":"","family":"Sweet","given":"Lawrence H.","non-dropping-particle":"","parse-names":false,"suffix":""},{"dropping-particle":"","family":"Colbert","given":"Lisa H.","non-dropping-particle":"","parse-names":false,"suffix":""},{"dropping-particle":"","family":"Josephson","given":"Richard","non-dropping-particle":"","parse-names":false,"suffix":""},{"dropping-particle":"","family":"Hughes","given":"Joel","non-dropping-particle":"","parse-names":false,"suffix":""},{"dropping-particle":"","family":"Rosneck","given":"Jim","non-dropping-particle":"","parse-names":false,"suffix":""},{"dropping-particle":"","family":"Gunstad","given":"John","non-dropping-particle":"","parse-names":false,"suffix":""}],"container-title":"Psychosomatic Medicine","id":"ITEM-1","issued":{"date-parts":[["2012"]]},"page":"965-973","title":"Cognitive function and treatment adherence in older adults with heart failure","type":"article-journal","volume":"74"},"uris":["http://www.mendeley.com/documents/?uuid=3a215991-f78c-488f-86c1-1945e34c3841"]},{"id":"ITEM-2","itemData":{"DOI":"10.1161/CIRCHEARTFAILURE.116.002475","ISSN":"19413297","PMID":"27895069","abstract":"Background - Subclinical cognitive impairment is prevalent in heart failure (HF); however, its role in important clinical outcomes, such as HF treatment adherence, is unclear. Given the complex polypharmacy in HF treatment, cognitive deficits may be important in predicting medication management. Thus, the objective of the current study was to examine the impact of cognitive function on medication adherence among community-dwelling patients with HF using objective assessments. Methods and Results - A prospective observational cohort design of 309 community-dwelling patients with HF (59.7% male, 68.7±9.7 years) and no history of dementia or neurological disease. Cognition was assessed using a neuropsychological battery at baseline. Medication adherence was objectively measured for 21 days using an electronic pillbox. Regression analyses tested whether attention, executive function, or memory predicted 21-day medication adherence. In unadjusted analyses, lower scores on all 3 cognitive domains predicted poorer medication adherence (β=0.52-85; P=0.001-0.009). After adjusting for demographic, clinical, and psychosocial variables, memory continued to predict medication adherence (β=0.51; P=0.008), whereas executive function (β=0.24; P=0.075) and attention were no longer a predictor (β=0.34; P=0.131). Conclusions - Poorer cognitive function, especially in regard to memory, predicted reduced medication adherence among patients with HF and no history of dementia. This effect remained after adjustment for factors known to predict adherence, such as depressed mood, social support, and disease severity level. Future studies should examine the link from cognitive impairment and medication nonadherence to clinical outcomes (eg, hospitalization and mortality). Clinical Trial Registration - URL: http://www.clinicaltrials.gov. Unique identifier: NCT01461629.","author":[{"dropping-particle":"","family":"Dolansky","given":"Mary A.","non-dropping-particle":"","parse-names":false,"suffix":""},{"dropping-particle":"","family":"Hawkins","given":"Misty A.W.","non-dropping-particle":"","parse-names":false,"suffix":""},{"dropping-particle":"","family":"Schaefer","given":"Julie T.","non-dropping-particle":"","parse-names":false,"suffix":""},{"dropping-particle":"","family":"Sattar","given":"Abdus","non-dropping-particle":"","parse-names":false,"suffix":""},{"dropping-particle":"","family":"Gunstad","given":"John","non-dropping-particle":"","parse-names":false,"suffix":""},{"dropping-particle":"","family":"Redle","given":"Joseph D.","non-dropping-particle":"","parse-names":false,"suffix":""},{"dropping-particle":"","family":"Josephson","given":"Richard","non-dropping-particle":"","parse-names":false,"suffix":""},{"dropping-particle":"","family":"Moore","given":"Shirley M.","non-dropping-particle":"","parse-names":false,"suffix":""},{"dropping-particle":"","family":"Hughes","given":"Joel W.","non-dropping-particle":"","parse-names":false,"suffix":""}],"container-title":"Circulation: Heart Failure","id":"ITEM-2","issued":{"date-parts":[["2016"]]},"page":"e002475","title":"Association between Poorer Cognitive Function and Reduced Objectively Monitored Medication Adherence in Patients with Heart Failure","type":"article-journal","volume":"9"},"uris":["http://www.mendeley.com/documents/?uuid=5c954d9b-665a-4fda-86fa-177d0910778c"]}],"mendeley":{"formattedCitation":"(Alosco et al., 2012; Dolansky et al., 2016)","plainTextFormattedCitation":"(Alosco et al., 2012; Dolansky et al., 2016)","previouslyFormattedCitation":"(Alosco et al., 2012; Dolansky et al., 2016)"},"properties":{"noteIndex":0},"schema":"https://github.com/citation-style-language/schema/raw/master/csl-citation.json"}</w:instrText>
      </w:r>
      <w:r w:rsidRPr="0058182F">
        <w:rPr>
          <w:color w:val="000000" w:themeColor="text1"/>
          <w:lang w:val="en-GB"/>
        </w:rPr>
        <w:fldChar w:fldCharType="separate"/>
      </w:r>
      <w:r w:rsidR="007D6381" w:rsidRPr="0058182F">
        <w:rPr>
          <w:noProof/>
          <w:color w:val="000000" w:themeColor="text1"/>
          <w:lang w:val="en-GB"/>
        </w:rPr>
        <w:t>(Alosco et al., 2012; Dolansky et al., 2016)</w:t>
      </w:r>
      <w:r w:rsidRPr="0058182F">
        <w:rPr>
          <w:color w:val="000000" w:themeColor="text1"/>
          <w:lang w:val="en-GB"/>
        </w:rPr>
        <w:fldChar w:fldCharType="end"/>
      </w:r>
      <w:r w:rsidRPr="0058182F">
        <w:rPr>
          <w:color w:val="000000" w:themeColor="text1"/>
          <w:lang w:val="en-GB"/>
        </w:rPr>
        <w:t xml:space="preserve">, hypertension </w:t>
      </w:r>
      <w:r w:rsidRPr="0058182F">
        <w:rPr>
          <w:color w:val="000000" w:themeColor="text1"/>
          <w:lang w:val="en-GB"/>
        </w:rPr>
        <w:fldChar w:fldCharType="begin" w:fldLock="1"/>
      </w:r>
      <w:r w:rsidR="00CC2D6A" w:rsidRPr="0058182F">
        <w:rPr>
          <w:color w:val="000000" w:themeColor="text1"/>
          <w:lang w:val="en-GB"/>
        </w:rPr>
        <w:instrText>ADDIN CSL_CITATION {"citationItems":[{"id":"ITEM-1","itemData":{"DOI":"10.1038/s41598-018-29974-7","ISSN":"20452322","PMID":"30076332","abstract":"Adherence to antihypertensive medication is a critical factor to control blood pressure and prevent complications. However, cognitive impairment can negatively affect medication adherence. In this study, we investigated the association between cognitive function and antihypertensive medication adherence among elderly hypertensive patients using the Korean National Health Insurance Service National Sample Cohort Data of the Elderly Cohort. The study included 20,071 elderly hypertensive patients and the prevalence of poor medication adherence to antihypertensive medications was 16.4%. A multivariate logistic regression analysis showed that lower cognitive function was associated with poor medication adherence (adjusted odds ratio 0.980, 95% confidence interval 0.961–0.999). Additionally, high income levels, living in metropolitan areas, and comorbidities (such as stroke, coronary heart disease, diabetes, and dyslipidemia) were positively associated with medication adherence, while patients diagnosed with cancers showed poor medication adherence. Our study demonstrated that cognitive impairment is a possible risk factor for poor antihypertensive medication adherence, even in patients without dementia. Thus, clinicians involved with geriatric care should monitor patients’ cognitive function and medication adherence. And if a patient shows cognitive impairment, clinicians need to educate patients and caregivers about the importance of proper adherence, and consider proper interventions to optimize the cognitive function of elderly patients.","author":[{"dropping-particle":"","family":"Cho","given":"Mi Hee","non-dropping-particle":"","parse-names":false,"suffix":""},{"dropping-particle":"","family":"Shin","given":"Dong Wook","non-dropping-particle":"","parse-names":false,"suffix":""},{"dropping-particle":"","family":"Chang","given":"Sung A.","non-dropping-particle":"","parse-names":false,"suffix":""},{"dropping-particle":"","family":"Lee","given":"Ji Eun","non-dropping-particle":"","parse-names":false,"suffix":""},{"dropping-particle":"","family":"Jeong","given":"Su Min","non-dropping-particle":"","parse-names":false,"suffix":""},{"dropping-particle":"","family":"Kim","given":"Sang Hyuck","non-dropping-particle":"","parse-names":false,"suffix":""},{"dropping-particle":"","family":"Yun","given":"Jae Moon","non-dropping-particle":"","parse-names":false,"suffix":""},{"dropping-particle":"","family":"Son","given":"Kiyoung","non-dropping-particle":"","parse-names":false,"suffix":""}],"container-title":"Scientific Reports","id":"ITEM-1","issued":{"date-parts":[["2018"]]},"page":"11688","title":"Association between cognitive impairment and poor antihypertensive medication adherence in elderly hypertensive patients without dementia","type":"article-journal","volume":"8"},"uris":["http://www.mendeley.com/documents/?uuid=aa1672cb-cd08-42f7-9ad4-9bb1277ab6b8"]},{"id":"ITEM-2","itemData":{"DOI":"10.2147/CIA.S162701","abstract":"Background: Nonadherence to medical treatment and lack of cooperation in hypertensive patients .65 years of age are believed to be caused by a number of age-related problems, such as cognitive impairment. Numerous epidemiological and prospective studies have demonstrated that hypertension that remains untreated for many years or is unsuccessfully treated for reasons such as poor compliance and adherence of the patient may lead to cognitive impairment. Objective: The objective of this study was to investigate the occurrence of cognitive impairment and its effect on treatment compliance and adherence in elderly hypertensive patients. Design: This study was an analytical cross-sectional study. Patients and methods: The study was conducted on 300 patients aged 65–91 years (mean age=71.8 years, SD=7.8 years) diagnosed with hypertension. The following research tools were used: 1) Hill-Bone High Blood Pressure Compliance Scale (HBCS) and 2) Mini– Mental State Examination (MMSE). We also analyzed medical documentation to obtain basic sociodemographic and clinical data. The study was approved by the Bioethics Committee of the Medical University of Wrocław (no KB-144/2016). Results: Cognitive impairment occurred in 60% of the patients. A group of 63% patients com- plied with antihypertensive therapy, with the mean score of 20.8 points. Cognitive impairment was strongly correlated with the total score of the HBCS questionnaire (p,0.001) and two of its subscales: “appointment keeping” (p,0.001) and “medication taking” (p,0.001). Conclusion: Compliance and adherence levels are higher in patients with a higher educational level, whereas male sex adversely affects treatment adherence in elderly hypertensive patients.","author":[{"dropping-particle":"","family":"Chudiak","given":"Anna","non-dropping-particle":"","parse-names":false,"suffix":""},{"dropping-particle":"","family":"Uchmanowicz","given":"Izabella","non-dropping-particle":"","parse-names":false,"suffix":""},{"dropping-particle":"","family":"Mazur","given":"Grzegorz","non-dropping-particle":"","parse-names":false,"suffix":""}],"container-title":"Clinical Interventions in Aging","id":"ITEM-2","issued":{"date-parts":[["2018"]]},"page":"1409-1418","title":"Relation between cognitive impairment and treatment adherence in elderly hypertensive patients","type":"article-journal","volume":"13"},"uris":["http://www.mendeley.com/documents/?uuid=698859f5-18f4-487e-a902-a68b2db20539"]}],"mendeley":{"formattedCitation":"(Cho et al., 2018; Chudiak et al., 2018)","plainTextFormattedCitation":"(Cho et al., 2018; Chudiak et al., 2018)","previouslyFormattedCitation":"(Cho et al., 2018; Chudiak et al., 2018)"},"properties":{"noteIndex":0},"schema":"https://github.com/citation-style-language/schema/raw/master/csl-citation.json"}</w:instrText>
      </w:r>
      <w:r w:rsidRPr="0058182F">
        <w:rPr>
          <w:color w:val="000000" w:themeColor="text1"/>
          <w:lang w:val="en-GB"/>
        </w:rPr>
        <w:fldChar w:fldCharType="separate"/>
      </w:r>
      <w:r w:rsidR="007D6381" w:rsidRPr="0058182F">
        <w:rPr>
          <w:noProof/>
          <w:color w:val="000000" w:themeColor="text1"/>
          <w:lang w:val="en-GB" w:eastAsia="zh-TW"/>
        </w:rPr>
        <w:t>(Cho et al., 2018; Chudiak et al., 2018)</w:t>
      </w:r>
      <w:r w:rsidRPr="0058182F">
        <w:rPr>
          <w:color w:val="000000" w:themeColor="text1"/>
          <w:lang w:val="en-GB"/>
        </w:rPr>
        <w:fldChar w:fldCharType="end"/>
      </w:r>
      <w:r w:rsidRPr="0058182F">
        <w:rPr>
          <w:color w:val="000000" w:themeColor="text1"/>
          <w:lang w:val="en-GB"/>
        </w:rPr>
        <w:t xml:space="preserve">, and type 2 diabetes </w:t>
      </w:r>
      <w:r w:rsidRPr="0058182F">
        <w:rPr>
          <w:color w:val="000000" w:themeColor="text1"/>
          <w:lang w:val="en-GB"/>
        </w:rPr>
        <w:fldChar w:fldCharType="begin" w:fldLock="1"/>
      </w:r>
      <w:r w:rsidR="00CC2D6A" w:rsidRPr="0058182F">
        <w:rPr>
          <w:color w:val="000000" w:themeColor="text1"/>
          <w:lang w:val="en-GB"/>
        </w:rPr>
        <w:instrText>ADDIN CSL_CITATION {"citationItems":[{"id":"ITEM-1","itemData":{"DOI":"10.2147/DMSO.S284468","ISSN":"11787007","abstract":"Background: Elderly patients with diabetes have a significantly increased prevalence of mild cognitive impairment compared with people of similar age without diabetes. Tasks related to diabetes self-management involve multiple cognitive skills and processes, such as memory, attention, planning, and calculating. Impaired cognitive function can threaten the patient’s ability to perform self-monitoring. The objectives of the study were: to assess cognitive deficits and the level of self-care in elderly patients with diabetes, to identify correlations between cognitive deficits and self-care, and to determine which variables influence self-care behaviors and cognitive deficits. Methods: The study involved 169 patients with type 2 DM. Standardized tools were used: Mini-mental State Examination (MMSE) to assess cognitive function and the Self-Care of Diabetes Inventory (SCODI) to assess the level of self-care. Socioclinical data were taken from the hospital records. Results: 56.8% of patients had cognitive impairment (MMSE≤26). In the comparative analysis, patients with cognitive impairment had significantly lower results in all domains of the SCODI: self-care maintenance (72.9 vs 75), self-care monitoring (53.1 vs 56.3), self-care management (71.9 vs 84.4), self-care confidence (79.5 vs 86.4). Correlation analysis showed that the MMSE score correlates significantly and positively (p˂0.05; r˃0) with all SCODI subscales, and the higher the MMSE score the higher the level of self-care (A: r=0.252, B: r=0.244, C: r=0.019, D: r=0.28). Conclusion: In this elderly type 2 diabetes population, and using only one test to verify the cognitive function, self-care management was worse in terms of self-care management (blood glucose control). Cognitive function components are independent determinants of self-care in patients with type 2 diabetes. Recall is an independent predictor of self-care maintenance, and writing a predictor of self-care monitoring.","author":[{"dropping-particle":"","family":"Świątoniowska-Lonc","given":"Natalia","non-dropping-particle":"","parse-names":false,"suffix":""},{"dropping-particle":"","family":"Polański","given":"Jacek","non-dropping-particle":"","parse-names":false,"suffix":""},{"dropping-particle":"","family":"Tański","given":"Wojciech","non-dropping-particle":"","parse-names":false,"suffix":""},{"dropping-particle":"","family":"Jankowska-Polańska","given":"Beata","non-dropping-particle":"","parse-names":false,"suffix":""}],"container-title":"Diabetes, Metabolic Syndrome and Obesity: Targets and Therapy","id":"ITEM-1","issued":{"date-parts":[["2021"]]},"page":"193-203","title":"Impact of cognitive impairment on adherence to treatment and self-care in patients with type 2 diabetes mellitus","type":"article-journal","volume":"14"},"uris":["http://www.mendeley.com/documents/?uuid=2e16f484-e41a-486a-baf1-f2809d5ddbb7"]}],"mendeley":{"formattedCitation":"(Świątoniowska-Lonc et al., 2021)","plainTextFormattedCitation":"(Świątoniowska-Lonc et al., 2021)","previouslyFormattedCitation":"(Świątoniowska-Lonc et al., 2021)"},"properties":{"noteIndex":0},"schema":"https://github.com/citation-style-language/schema/raw/master/csl-citation.json"}</w:instrText>
      </w:r>
      <w:r w:rsidRPr="0058182F">
        <w:rPr>
          <w:color w:val="000000" w:themeColor="text1"/>
          <w:lang w:val="en-GB"/>
        </w:rPr>
        <w:fldChar w:fldCharType="separate"/>
      </w:r>
      <w:r w:rsidR="007D6381" w:rsidRPr="0058182F">
        <w:rPr>
          <w:noProof/>
          <w:color w:val="000000" w:themeColor="text1"/>
          <w:lang w:val="en-GB"/>
        </w:rPr>
        <w:t>(Świątoniowska-Lonc et al., 2021)</w:t>
      </w:r>
      <w:r w:rsidRPr="0058182F">
        <w:rPr>
          <w:color w:val="000000" w:themeColor="text1"/>
          <w:lang w:val="en-GB"/>
        </w:rPr>
        <w:fldChar w:fldCharType="end"/>
      </w:r>
      <w:r w:rsidRPr="0058182F">
        <w:rPr>
          <w:color w:val="000000" w:themeColor="text1"/>
          <w:lang w:val="en-GB"/>
        </w:rPr>
        <w:t xml:space="preserve">, have found </w:t>
      </w:r>
      <w:r w:rsidR="008F7EFE">
        <w:rPr>
          <w:color w:val="000000" w:themeColor="text1"/>
          <w:lang w:val="en-GB"/>
        </w:rPr>
        <w:t>positive relationship</w:t>
      </w:r>
      <w:r w:rsidR="009876C9">
        <w:rPr>
          <w:color w:val="000000" w:themeColor="text1"/>
          <w:lang w:val="en-GB"/>
        </w:rPr>
        <w:t>s</w:t>
      </w:r>
      <w:r w:rsidR="008F7EFE">
        <w:rPr>
          <w:color w:val="000000" w:themeColor="text1"/>
          <w:lang w:val="en-GB"/>
        </w:rPr>
        <w:t xml:space="preserve"> between</w:t>
      </w:r>
      <w:r w:rsidRPr="0058182F">
        <w:rPr>
          <w:color w:val="000000" w:themeColor="text1"/>
          <w:lang w:val="en-GB"/>
        </w:rPr>
        <w:t xml:space="preserve"> cognitive function and treatment adherence. Findings in the current study therefore align with these previous studies</w:t>
      </w:r>
      <w:r w:rsidR="008F7EFE">
        <w:rPr>
          <w:color w:val="000000" w:themeColor="text1"/>
          <w:lang w:val="en-GB"/>
        </w:rPr>
        <w:t xml:space="preserve"> and </w:t>
      </w:r>
      <w:r w:rsidR="00FE24E2">
        <w:rPr>
          <w:color w:val="000000" w:themeColor="text1"/>
          <w:lang w:val="en-GB"/>
        </w:rPr>
        <w:t xml:space="preserve">provide further evidence that these associations may be </w:t>
      </w:r>
      <w:r w:rsidR="009A2F5F">
        <w:rPr>
          <w:color w:val="000000" w:themeColor="text1"/>
          <w:lang w:val="en-GB"/>
        </w:rPr>
        <w:t xml:space="preserve">stable </w:t>
      </w:r>
      <w:r w:rsidR="00165FBE">
        <w:rPr>
          <w:color w:val="000000" w:themeColor="text1"/>
          <w:lang w:val="en-GB"/>
        </w:rPr>
        <w:t>across</w:t>
      </w:r>
      <w:r w:rsidR="009A2F5F">
        <w:rPr>
          <w:color w:val="000000" w:themeColor="text1"/>
          <w:lang w:val="en-GB"/>
        </w:rPr>
        <w:t xml:space="preserve"> time</w:t>
      </w:r>
      <w:r w:rsidR="0062090A">
        <w:rPr>
          <w:color w:val="000000" w:themeColor="text1"/>
          <w:lang w:val="en-GB"/>
        </w:rPr>
        <w:t xml:space="preserve"> and may translate into </w:t>
      </w:r>
      <w:r w:rsidR="002A57A8">
        <w:rPr>
          <w:color w:val="000000" w:themeColor="text1"/>
          <w:lang w:val="en-GB"/>
        </w:rPr>
        <w:t xml:space="preserve">key </w:t>
      </w:r>
      <w:r w:rsidR="0062090A">
        <w:rPr>
          <w:color w:val="000000" w:themeColor="text1"/>
          <w:lang w:val="en-GB"/>
        </w:rPr>
        <w:t>clinical</w:t>
      </w:r>
      <w:r w:rsidR="00CC0348">
        <w:rPr>
          <w:color w:val="000000" w:themeColor="text1"/>
          <w:lang w:val="en-GB"/>
        </w:rPr>
        <w:t xml:space="preserve"> </w:t>
      </w:r>
      <w:r w:rsidR="0062090A">
        <w:rPr>
          <w:color w:val="000000" w:themeColor="text1"/>
          <w:lang w:val="en-GB"/>
        </w:rPr>
        <w:t>outcomes</w:t>
      </w:r>
      <w:r w:rsidR="001B0683">
        <w:rPr>
          <w:color w:val="000000" w:themeColor="text1"/>
          <w:lang w:val="en-GB"/>
        </w:rPr>
        <w:t>.</w:t>
      </w:r>
    </w:p>
    <w:p w14:paraId="46EE5B3E" w14:textId="5D118280" w:rsidR="0033386D" w:rsidRPr="0069192C" w:rsidRDefault="0033386D" w:rsidP="0069192C">
      <w:pPr>
        <w:spacing w:line="480" w:lineRule="auto"/>
        <w:ind w:firstLine="567"/>
        <w:contextualSpacing/>
        <w:rPr>
          <w:lang w:val="en-GB"/>
        </w:rPr>
      </w:pPr>
      <w:r w:rsidRPr="0058182F">
        <w:rPr>
          <w:color w:val="000000" w:themeColor="text1"/>
        </w:rPr>
        <w:t xml:space="preserve">Taken together, </w:t>
      </w:r>
      <w:r w:rsidR="006B3057">
        <w:rPr>
          <w:color w:val="000000" w:themeColor="text1"/>
        </w:rPr>
        <w:t>our</w:t>
      </w:r>
      <w:r w:rsidRPr="0058182F">
        <w:rPr>
          <w:color w:val="000000" w:themeColor="text1"/>
        </w:rPr>
        <w:t xml:space="preserve"> findings have </w:t>
      </w:r>
      <w:r w:rsidR="006A5467">
        <w:rPr>
          <w:color w:val="000000" w:themeColor="text1"/>
        </w:rPr>
        <w:t>several</w:t>
      </w:r>
      <w:r w:rsidRPr="0058182F">
        <w:rPr>
          <w:color w:val="000000" w:themeColor="text1"/>
        </w:rPr>
        <w:t xml:space="preserve"> </w:t>
      </w:r>
      <w:r w:rsidR="006A5467">
        <w:rPr>
          <w:color w:val="000000" w:themeColor="text1"/>
        </w:rPr>
        <w:t xml:space="preserve">important clinical </w:t>
      </w:r>
      <w:r w:rsidRPr="0058182F">
        <w:rPr>
          <w:color w:val="000000" w:themeColor="text1"/>
        </w:rPr>
        <w:t>implications. First,</w:t>
      </w:r>
      <w:r w:rsidR="006A58E4">
        <w:rPr>
          <w:color w:val="000000" w:themeColor="text1"/>
        </w:rPr>
        <w:t xml:space="preserve"> screening</w:t>
      </w:r>
      <w:r w:rsidRPr="0058182F">
        <w:rPr>
          <w:color w:val="000000" w:themeColor="text1"/>
        </w:rPr>
        <w:t xml:space="preserve"> of SCCs</w:t>
      </w:r>
      <w:r w:rsidR="006A58E4">
        <w:rPr>
          <w:color w:val="000000" w:themeColor="text1"/>
        </w:rPr>
        <w:t xml:space="preserve"> on a regular basis</w:t>
      </w:r>
      <w:r w:rsidRPr="0058182F">
        <w:rPr>
          <w:color w:val="000000" w:themeColor="text1"/>
        </w:rPr>
        <w:t xml:space="preserve"> using a simple and quick </w:t>
      </w:r>
      <w:r w:rsidR="00254D01">
        <w:rPr>
          <w:color w:val="000000" w:themeColor="text1"/>
        </w:rPr>
        <w:t>self-reported</w:t>
      </w:r>
      <w:r w:rsidRPr="0058182F">
        <w:rPr>
          <w:color w:val="000000" w:themeColor="text1"/>
        </w:rPr>
        <w:t xml:space="preserve"> measure (i.e., KDQOL-CF) </w:t>
      </w:r>
      <w:r w:rsidR="006A3FE9">
        <w:rPr>
          <w:color w:val="000000" w:themeColor="text1"/>
        </w:rPr>
        <w:t>could</w:t>
      </w:r>
      <w:r w:rsidRPr="0058182F">
        <w:rPr>
          <w:color w:val="000000" w:themeColor="text1"/>
        </w:rPr>
        <w:t xml:space="preserve"> help identifying </w:t>
      </w:r>
      <w:r w:rsidR="00254D01">
        <w:rPr>
          <w:color w:val="000000" w:themeColor="text1"/>
        </w:rPr>
        <w:t>patients</w:t>
      </w:r>
      <w:r w:rsidRPr="0058182F">
        <w:rPr>
          <w:color w:val="000000" w:themeColor="text1"/>
        </w:rPr>
        <w:t xml:space="preserve"> with </w:t>
      </w:r>
      <w:r w:rsidR="00254D01">
        <w:rPr>
          <w:color w:val="000000" w:themeColor="text1"/>
        </w:rPr>
        <w:t>persistent SCCs or deteriorating cogniti</w:t>
      </w:r>
      <w:r w:rsidR="0062090A">
        <w:rPr>
          <w:color w:val="000000" w:themeColor="text1"/>
        </w:rPr>
        <w:t xml:space="preserve">ve function </w:t>
      </w:r>
      <w:r w:rsidR="00D111EB">
        <w:rPr>
          <w:color w:val="000000" w:themeColor="text1"/>
        </w:rPr>
        <w:t xml:space="preserve">who may be at risk of developing objective CIs and at risk of </w:t>
      </w:r>
      <w:r w:rsidR="00D111EB" w:rsidRPr="0058182F">
        <w:rPr>
          <w:color w:val="000000" w:themeColor="text1"/>
        </w:rPr>
        <w:t>low self-efficacy, poor self-management skills, and nonadherence</w:t>
      </w:r>
      <w:r w:rsidR="00D111EB">
        <w:rPr>
          <w:color w:val="000000" w:themeColor="text1"/>
        </w:rPr>
        <w:t xml:space="preserve">. </w:t>
      </w:r>
      <w:r w:rsidR="008535C5">
        <w:rPr>
          <w:color w:val="000000" w:themeColor="text1"/>
        </w:rPr>
        <w:t xml:space="preserve">CIs are underdiagnosed in </w:t>
      </w:r>
      <w:r w:rsidR="007A1C6C">
        <w:rPr>
          <w:color w:val="000000" w:themeColor="text1"/>
        </w:rPr>
        <w:t xml:space="preserve">ESRD patients </w:t>
      </w:r>
      <w:r w:rsidR="007A1C6C" w:rsidRPr="0058182F">
        <w:fldChar w:fldCharType="begin" w:fldLock="1"/>
      </w:r>
      <w:r w:rsidR="007A1C6C" w:rsidRPr="0058182F">
        <w:instrText>ADDIN CSL_CITATION {"citationItems":[{"id":"ITEM-1","itemData":{"abstract":"The heavy burden of cognitive impairment in hemodialysis and chronic kidney disease patients has only recently become recognized. Up to 70 percent of hemodialysis patients ages 55 years and older have moderate to severe chronic cognitive impairment, yet it is largely undiagnosed. Recent studies describe the strong graded relation between estimated glomerular filtration rate (eGFR) and cognitive function in CKD patients. The process of conventional hemodialysis may induce recurrent episodes of acute cerebral ischemia, which in turn may contribute to acute decline in cognitive function during dialysis. Thus the worst time to communicate with dialysis patients may be during the hemodialysis session. Both symptomatic and occult, subclinical ischemic cerebrovascular disease appear to play a large role in a proposed model of accelerated vascular cognitive impairment in these populations. Severe cognitive impairment or dementia among hemodialysis patients is associated with an approximately two-fold increased risk of both mortality and dialysis withdrawal. Pre-dialysis cognitive screening and adding dementia to the list of comorbidities on Form 2728 would provide critical information regarding the benefit versus risks of receiving dialysis. It could also improve quality of care and outcomes by raising clinician’s awareness of the potential effects of cognitive impairment on medication, fluid, and dietary compliance, and ability to make advance directive decisions among dialysis patients. While much remains to be learned regarding the pathophysiology of cognitive impairment in kidney disease, the public health implications of this substantial burden are immediate.","author":[{"dropping-particle":"","family":"Murray","given":"Anne M.","non-dropping-particle":"","parse-names":false,"suffix":""}],"container-title":"Advances in Chronic Kidney Disease","id":"ITEM-1","issue":"2","issued":{"date-parts":[["2008"]]},"page":"123-132","title":"Cognitive Impairment in the Aging Dialysis and Chronic Kidney Disease Populations: an Occult Burden","type":"article-journal","volume":"15"},"uris":["http://www.mendeley.com/documents/?uuid=953241da-8b33-4f1e-b74a-0ff1a7e8fbe8"]},{"id":"ITEM-2","itemData":{"DOI":"10.1016/S0272-6386(97)90563-1","ISSN":"02726386","PMID":"9214400","abstract":"The increasing age and co-morbidity of dialysis patients may be associated with an increase in the prevalence of Alzheimer's disease, stroke, and other causes of mental impairment. We sought to determine the prevalence, recognition, and implications of mental impairment among chronic hemodialysis patients. We administered the Mini Mental Status Exam (MMSE) to 336 randomly selected patients from three dialysis units. To determine recognition of mental impairment by health care providers, we compared MMSE scores with mental status assessments obtained from each patient's dialysis technician and medical record. To determine the clinical implications of mental impairment, we prospectively obtained Kt/V, albumin, protein catabolic rate, blood pressure, and hematocrit values. To determine the resource implications of mental impairment, we assessed staff time required to care for each patient as well as hospitalizations. We found that 22% of subjects had mild mental impairment (MMSE 18 to 23) and that 8% had moderate-severe mental impairment (MMSE 0 to 17). The sensitivity of technician and medical record mental status assessments were 57% and 15%, respectively. After adjusting for demographic and medical variables, low MMSE score was independently associated with low protein catabolic rate (odds ratio, 1.5; P = 0.02), increased technician time caring for patient after dialysis (odds ratio, 1.5; P = 0.005), and increased hospital days (odds ratio, 1.4; P = 0.03). In conclusion, there is a high prevalence of unrecognized mental impairment among hemodialysis patients that has adverse implications for protein nutritional status, staff time, and hospitalization. We recommend that clinicians routinely screen for mental impairment and target impaired patients for interventions to improve mental status and associated adverse outcomes.","author":[{"dropping-particle":"","family":"Sehgal","given":"Ashwini R.","non-dropping-particle":"","parse-names":false,"suffix":""},{"dropping-particle":"","family":"Grey","given":"Scott F.","non-dropping-particle":"","parse-names":false,"suffix":""},{"dropping-particle":"","family":"DeOreo","given":"Peter B.","non-dropping-particle":"","parse-names":false,"suffix":""},{"dropping-particle":"","family":"Whitehouse","given":"Peter J.","non-dropping-particle":"","parse-names":false,"suffix":""}],"container-title":"American Journal of Kidney Diseases","id":"ITEM-2","issue":"1","issued":{"date-parts":[["1997"]]},"page":"41-49","title":"Prevalence, recognition, and implications of mental impairment among hemodialysis patients","type":"article-journal","volume":"30"},"uris":["http://www.mendeley.com/documents/?uuid=541b43dd-8ec5-4d86-a3cf-2e5a8ff8085a"]}],"mendeley":{"formattedCitation":"(Murray, 2008; Sehgal et al., 1997)","plainTextFormattedCitation":"(Murray, 2008; Sehgal et al., 1997)","previouslyFormattedCitation":"(Murray, 2008; Sehgal et al., 1997)"},"properties":{"noteIndex":0},"schema":"https://github.com/citation-style-language/schema/raw/master/csl-citation.json"}</w:instrText>
      </w:r>
      <w:r w:rsidR="007A1C6C" w:rsidRPr="0058182F">
        <w:fldChar w:fldCharType="separate"/>
      </w:r>
      <w:r w:rsidR="007A1C6C" w:rsidRPr="0058182F">
        <w:rPr>
          <w:noProof/>
        </w:rPr>
        <w:t>(Murray, 2008; Sehgal et al., 1997)</w:t>
      </w:r>
      <w:r w:rsidR="007A1C6C" w:rsidRPr="0058182F">
        <w:fldChar w:fldCharType="end"/>
      </w:r>
      <w:r w:rsidR="007A1C6C">
        <w:rPr>
          <w:color w:val="000000" w:themeColor="text1"/>
        </w:rPr>
        <w:t xml:space="preserve">, which may be due in part to the lack of a gold standard cognitive screener that is sensitive, </w:t>
      </w:r>
      <w:r w:rsidR="00712FD5">
        <w:rPr>
          <w:color w:val="000000" w:themeColor="text1"/>
        </w:rPr>
        <w:t xml:space="preserve">efficient, and </w:t>
      </w:r>
      <w:r w:rsidR="007A1C6C">
        <w:rPr>
          <w:color w:val="000000" w:themeColor="text1"/>
        </w:rPr>
        <w:t>easily accessibl</w:t>
      </w:r>
      <w:r w:rsidR="00712FD5">
        <w:rPr>
          <w:color w:val="000000" w:themeColor="text1"/>
        </w:rPr>
        <w:t>e</w:t>
      </w:r>
      <w:r w:rsidRPr="0058182F">
        <w:t xml:space="preserve">. There is </w:t>
      </w:r>
      <w:r w:rsidR="000A4D3D">
        <w:t xml:space="preserve">currently </w:t>
      </w:r>
      <w:r w:rsidRPr="0058182F">
        <w:t xml:space="preserve">no established protocol or guideline </w:t>
      </w:r>
      <w:r w:rsidR="006F1D22">
        <w:t>to screen for CIs</w:t>
      </w:r>
      <w:r w:rsidRPr="0058182F">
        <w:t xml:space="preserve"> in </w:t>
      </w:r>
      <w:r w:rsidR="006F1D22">
        <w:t xml:space="preserve">the </w:t>
      </w:r>
      <w:r w:rsidRPr="0058182F">
        <w:t xml:space="preserve">ESRD population. </w:t>
      </w:r>
      <w:r w:rsidR="00861043">
        <w:t>N</w:t>
      </w:r>
      <w:r w:rsidRPr="0058182F">
        <w:t>europsychological tests</w:t>
      </w:r>
      <w:r w:rsidR="00861043">
        <w:t xml:space="preserve">, albeit sensitive in detecting objective CIs, </w:t>
      </w:r>
      <w:r w:rsidRPr="0058182F">
        <w:t>are usually time-</w:t>
      </w:r>
      <w:r w:rsidRPr="0058182F">
        <w:lastRenderedPageBreak/>
        <w:t>consuming</w:t>
      </w:r>
      <w:r w:rsidR="00A76AEE">
        <w:t xml:space="preserve"> and</w:t>
      </w:r>
      <w:r w:rsidRPr="0058182F">
        <w:t xml:space="preserve"> labour-intensive, </w:t>
      </w:r>
      <w:r w:rsidR="00861043">
        <w:t>and</w:t>
      </w:r>
      <w:r w:rsidR="00A76AEE">
        <w:t xml:space="preserve"> may not be able to identify at-risk patients who report some SCCs yet perform normally on objective tests </w:t>
      </w:r>
      <w:r w:rsidRPr="0058182F">
        <w:fldChar w:fldCharType="begin" w:fldLock="1"/>
      </w:r>
      <w:r w:rsidR="00CC2D6A" w:rsidRPr="0058182F">
        <w:instrText>ADDIN CSL_CITATION {"citationItems":[{"id":"ITEM-1","itemData":{"DOI":"10.3389/fneur.2021.787370","ISSN":"16642295","abstract":"Cognitive impairment is independently associated with kidney disease and increases in prevalence with declining kidney function. At the stage where kidney replacement therapy is required, with dialysis or transplantation, cognitive impairment is up to three times more common, and can present at a younger age. This is not a new phenomenon. The cognitive interactions of kidney disease are long recognized from historical accounts of uremic encephalopathy and so-called “dialysis dementia” to the more recent recognition of cognitive impairment in those undergoing kidney replacement therapy (KRT). The understanding of cognitive impairment as an extra-renal complication of kidney failure and effect of its treatments is a rapidly developing area of renal medicine. Multiple proposed mechanisms contribute to this burden. Advanced vascular aging, significant multi-morbidity, mood disorders, and sleep dysregulation are common in addition to the disease-specific effects of uremic toxins, chronic inflammation, and the effect of dialysis itself. The impact of cognitive impairment on people living with kidney disease is vast ranging from increased hospitalization and mortality to decreased quality of life and altered decision making. Assessment of cognition in patients attending for renal care could have benefits. However, in the context of a busy clinical service, a pragmatic approach to assessing cognitive function is necessary and requires consideration of the purpose of testing and resources available. Limited evidence exists to support treatments to mitigate the degree of cognitive impairment observed, but promising interventions include physical or cognitive exercise, alteration to the dialysis treatment and kidney transplantation. In this review we present the history of cognitive impairment in those with kidney failure, and the current understanding of the mechanisms, effects, and implications of impaired cognition. We provide a practical approach to clinical assessment and discuss evidence-supported treatments and future directions in this ever-expanding area which is pivotal to our patients' quality and quantity of life.","author":[{"dropping-particle":"","family":"Crowe","given":"Kirsty","non-dropping-particle":"","parse-names":false,"suffix":""},{"dropping-particle":"","family":"Quinn","given":"Terence J.","non-dropping-particle":"","parse-names":false,"suffix":""},{"dropping-particle":"","family":"Mark","given":"Patrick B.","non-dropping-particle":"","parse-names":false,"suffix":""},{"dropping-particle":"","family":"Findlay","given":"Mark D.","non-dropping-particle":"","parse-names":false,"suffix":""}],"container-title":"Frontiers in Neurology","id":"ITEM-1","issued":{"date-parts":[["2021"]]},"page":"787370","title":"“Is It Removed During Dialysis?”—Cognitive Dysfunction in Advanced Kidney Failure—A Review Article","type":"article-journal","volume":"12"},"uris":["http://www.mendeley.com/documents/?uuid=56521899-397f-403a-a44a-3824919b6dc4"]},{"id":"ITEM-2","itemData":{"DOI":"10.1111/j.1523-1755.2004.66024.x","ISSN":"00852538","PMID":"15569327","abstract":"Background. Formal cognitive function testing is cumbersome, and no self-administered instruments for estimating cognitive function in persons with chronic kidney disease (CKD) and end-stage renal disease (ESRD) have been validated. The goal of this study was to determine the validity of the Kidney Disease Quality of Life Cognitive Function scale (KDQOL-CF) for the assessment of cognitive impairment in persons with kidney disease. Methods. We administered the KDQOL-CF to 157 subjects, 79 with ESRD and 78 with CKD participating in a cross-sectional study of cognitive function. Scores on the Modified Mini-Mental State Exam (3MS) were considered the gold standard measure of global cognitive function. Performance characteristics of the KDQOL-CF were assessed using correlation coefficients, Bland-Altman plots, and receiver operating characteristic curves. Results. Median scores on the KDQOL-CF were 73 (interquartile range 60-87) for subjects with ESRD and 87 (interquartile range 73-100) for subjects with CKD (P &lt; 0.0001). Scores on the KDQOL-CF were directly correlated with scores on the 3MS (r = 0.31, P = 0.0001). Defining global cognitive impairment as a 3MS score &lt;80, a cut-point of 60 on the KDQOL-CF accurately classified 76% of subjects, with 52% sensitivity and 81% specificity. On multivariable analysis, cerebral and peripheral vascular disease, benzodiazepine use, and higher serum phosphorus concentrations were associated with lower KDQOL-CF scores, while beta blocker use, education, and higher serum albumin concentrations were associated with higher KDQOL-CF scores. Conclusion. The KDQOL-CF is a valid instrument for estimating cognitive function in patients with CKD and ESRD. KDQOL-CF screening followed by 3MS testing in selected individuals may prove to be an effective and efficient strategy for identifying cognitive impairment in patients with kidney disease. © 2004 by the International Society of Nephrology.","author":[{"dropping-particle":"","family":"Kurella","given":"Manjula","non-dropping-particle":"","parse-names":false,"suffix":""},{"dropping-particle":"","family":"Luan","given":"Jennifer","non-dropping-particle":"","parse-names":false,"suffix":""},{"dropping-particle":"","family":"Yaffe","given":"Kristine","non-dropping-particle":"","parse-names":false,"suffix":""},{"dropping-particle":"","family":"Chertow","given":"Glenn M.","non-dropping-particle":"","parse-names":false,"suffix":""}],"container-title":"Kidney International","id":"ITEM-2","issued":{"date-parts":[["2004"]]},"page":"2361-2367","title":"Validation of the Kidney Disease Quality of Life (KDQOL) Cognitive Function subscale","type":"article-journal","volume":"66"},"uris":["http://www.mendeley.com/documents/?uuid=beb6443f-f5ae-4cf7-86fb-b02742370254"]}],"mendeley":{"formattedCitation":"(Crowe et al., 2021; Kurella et al., 2004)","plainTextFormattedCitation":"(Crowe et al., 2021; Kurella et al., 2004)","previouslyFormattedCitation":"(Crowe et al., 2021; Kurella et al., 2004)"},"properties":{"noteIndex":0},"schema":"https://github.com/citation-style-language/schema/raw/master/csl-citation.json"}</w:instrText>
      </w:r>
      <w:r w:rsidRPr="0058182F">
        <w:fldChar w:fldCharType="separate"/>
      </w:r>
      <w:r w:rsidR="007D6381" w:rsidRPr="0058182F">
        <w:rPr>
          <w:noProof/>
        </w:rPr>
        <w:t>(Crowe et al., 2021; Kurella et al., 2004)</w:t>
      </w:r>
      <w:r w:rsidRPr="0058182F">
        <w:fldChar w:fldCharType="end"/>
      </w:r>
      <w:r w:rsidRPr="0058182F">
        <w:t xml:space="preserve">. Brief self-reports may be feasible alternatives in busy </w:t>
      </w:r>
      <w:r w:rsidR="00576EB9">
        <w:t>dialysis</w:t>
      </w:r>
      <w:r w:rsidRPr="0058182F">
        <w:t xml:space="preserve"> settings although their diagnostic ability needs further study. </w:t>
      </w:r>
      <w:r w:rsidR="000C4CE2">
        <w:t xml:space="preserve">Second, SCCs emerged as a potentially modifiable risk factor </w:t>
      </w:r>
      <w:r w:rsidR="00603DFE">
        <w:t>for</w:t>
      </w:r>
      <w:r w:rsidR="000C4CE2">
        <w:t xml:space="preserve"> poor patient outcomes</w:t>
      </w:r>
      <w:r w:rsidR="0023055C">
        <w:t xml:space="preserve">. </w:t>
      </w:r>
      <w:r w:rsidR="001B0F2D">
        <w:t xml:space="preserve">Research in the Alzheimer’s disease literature has started to </w:t>
      </w:r>
      <w:r w:rsidR="001A55B9">
        <w:t xml:space="preserve">examine the effects of various types of interventions including mindfulness, exercise, cognitive training, and psychoeducation on SCCs </w:t>
      </w:r>
      <w:r w:rsidRPr="0058182F">
        <w:fldChar w:fldCharType="begin" w:fldLock="1"/>
      </w:r>
      <w:r w:rsidR="00E84C4E">
        <w:instrText>ADDIN CSL_CITATION {"citationItems":[{"id":"ITEM-1","itemData":{"DOI":"10.1186/s13195-021-00956-8","ISSN":"1758-9193","author":[{"dropping-particle":"","family":"Ayda","given":"Rostamzadeh","non-dropping-particle":"","parse-names":false,"suffix":""},{"dropping-particle":"","family":"Anna","given":"Kahlert","non-dropping-particle":"","parse-names":false,"suffix":""},{"dropping-particle":"","family":"Franziska","given":"Kalthegener","non-dropping-particle":"","parse-names":false,"suffix":""},{"dropping-particle":"","family":"Frank","given":"Jessen","non-dropping-particle":"","parse-names":false,"suffix":""}],"container-title":"Alzheimer's Research &amp; Therapy","id":"ITEM-1","issued":{"date-parts":[["2022"]]},"page":"18","publisher":"BioMed Central","title":"Psychotherapeutic interventions in individuals at risk for Alzheimer’s dementia: a systematic review","type":"article-journal","volume":"14"},"uris":["http://www.mendeley.com/documents/?uuid=3c30eaaf-5d1b-4862-822a-13db136107d4"]},{"id":"ITEM-2","itemData":{"DOI":"10.1136/bmjopen-2018-021610","ISSN":"20446055","PMID":"30030318","abstract":"Objectives This review provides a broad overview of the effectiveness of interventions for subjective cognitive decline (SCD) in improving psychological well-being, metacognition and objective cognitive performance. Methods Databases including PubMed, Web of Science and Cochrane Systematic Reviews were searched up to August 2017 to identify randomised controlled trials evaluating interventions for SCD. Interventions were categorised as psychological, cognitive, lifestyle or pharmacological. Outcomes of interest included psychological well-being, metacognitive ability and objective cognitive performance. To assess the risk of bias, three authors independently rated study validity using criteria based on the Critical Appraisal Skills Programme. Random-effects meta-analyses were undertaken where three or more studies investigated similar interventions and reported comparable outcomes. Results Twenty studies met inclusion criteria and 16 had sufficient data for inclusion in the meta-analyses. Of these, only seven were rated as being high quality. Group psychological interventions significantly improved psychological well-being (g=0.40, 95% CI 0.03 to 0.76; p=0.03) but the improvement they conferred on metacognitive ability was not statistically significant (g=0.26, 95% CI '0.22 to 0.73; p=0.28). Overall, cognitive training interventions led to a small, statistically significant improvement in objective cognitive performance (g=0.13, 95% CI 0.01 to 0.25; p=0.03). However, the pooled effect sizes of studies using active control groups (g=0.02, 95% CI '0.19 to 0.22; p=0.85) or reporting global cognitive measures (g=0.06, 95% CI -0.19 to 0.31; p=0.66) were non-significant. Conclusions There is a lack of high-quality research in this field. Group psychological interventions improve psychological well-being and may also improve metacognition. A large, high-quality study is indicated to investigate this further. There is no evidence to suggest that cognitive interventions improve global cognitive performance and the clinical utility of small improvements in specific cognitive domains is questionable. There is a lack of research considering lifestyle interventions and poor quality evidence for pharmacological interventions. PROSPERO registration number CRD42017079391.","author":[{"dropping-particle":"","family":"Bhome","given":"Rohan","non-dropping-particle":"","parse-names":false,"suffix":""},{"dropping-particle":"","family":"Berry","given":"Alex J.","non-dropping-particle":"","parse-names":false,"suffix":""},{"dropping-particle":"","family":"Huntley","given":"Jonathan D.","non-dropping-particle":"","parse-names":false,"suffix":""},{"dropping-particle":"","family":"Howard","given":"Robert J.","non-dropping-particle":"","parse-names":false,"suffix":""}],"container-title":"BMJ Open","id":"ITEM-2","issued":{"date-parts":[["2018"]]},"page":"e021610","title":"Interventions for subjective cognitive decline: systematic review and meta-analysis","type":"article-journal","volume":"8"},"uris":["http://www.mendeley.com/documents/?uuid=32f19291-a788-4d5a-b136-72c975e7bedc"]}],"mendeley":{"formattedCitation":"(Ayda et al., 2022; Bhome et al., 2018)","plainTextFormattedCitation":"(Ayda et al., 2022; Bhome et al., 2018)","previouslyFormattedCitation":"(Ayda et al., 2022; Bhome et al., 2018)"},"properties":{"noteIndex":0},"schema":"https://github.com/citation-style-language/schema/raw/master/csl-citation.json"}</w:instrText>
      </w:r>
      <w:r w:rsidRPr="0058182F">
        <w:fldChar w:fldCharType="separate"/>
      </w:r>
      <w:r w:rsidR="001725EA" w:rsidRPr="001725EA">
        <w:rPr>
          <w:noProof/>
        </w:rPr>
        <w:t>(Ayda et al., 2022; Bhome et al., 2018)</w:t>
      </w:r>
      <w:r w:rsidRPr="0058182F">
        <w:fldChar w:fldCharType="end"/>
      </w:r>
      <w:r w:rsidRPr="0058182F">
        <w:rPr>
          <w:lang w:val="en-GB"/>
        </w:rPr>
        <w:t xml:space="preserve">. </w:t>
      </w:r>
      <w:r w:rsidR="002D2A56" w:rsidRPr="0058182F">
        <w:rPr>
          <w:lang w:val="en-GB"/>
        </w:rPr>
        <w:t xml:space="preserve">Besides the need for further research on these interventions </w:t>
      </w:r>
      <w:r w:rsidR="00677D4E">
        <w:rPr>
          <w:lang w:val="en-GB"/>
        </w:rPr>
        <w:t>in the dialysis population</w:t>
      </w:r>
      <w:r w:rsidR="002D2A56" w:rsidRPr="0058182F">
        <w:rPr>
          <w:lang w:val="en-GB"/>
        </w:rPr>
        <w:t xml:space="preserve">, it is also important to consider strategies </w:t>
      </w:r>
      <w:r w:rsidR="001B0F2D">
        <w:t xml:space="preserve">that </w:t>
      </w:r>
      <w:r w:rsidR="001B0F2D" w:rsidRPr="0058182F">
        <w:rPr>
          <w:lang w:val="en-GB"/>
        </w:rPr>
        <w:t>mitigate/compensate for patients’ everyday cognitive lapses and consequences associated with these lapses</w:t>
      </w:r>
      <w:r w:rsidR="00E71438">
        <w:rPr>
          <w:lang w:val="en-GB"/>
        </w:rPr>
        <w:t xml:space="preserve"> (</w:t>
      </w:r>
      <w:r w:rsidR="00B06EDB">
        <w:rPr>
          <w:lang w:val="en-GB"/>
        </w:rPr>
        <w:t>e.g.</w:t>
      </w:r>
      <w:r w:rsidR="00E71438">
        <w:rPr>
          <w:lang w:val="en-GB"/>
        </w:rPr>
        <w:t>, nonadherence)</w:t>
      </w:r>
      <w:r w:rsidRPr="0058182F">
        <w:rPr>
          <w:lang w:val="en-GB"/>
        </w:rPr>
        <w:t xml:space="preserve">. For example, for patients who report adherence difficulties due to memory issues, strategies such as text message reminders, medication management plans, and medication mobile apps may be </w:t>
      </w:r>
      <w:r w:rsidR="00DF6AA7">
        <w:rPr>
          <w:lang w:val="en-GB"/>
        </w:rPr>
        <w:t>helpful</w:t>
      </w:r>
      <w:r w:rsidR="00024E93">
        <w:rPr>
          <w:lang w:val="en-GB"/>
        </w:rPr>
        <w:t>.</w:t>
      </w:r>
    </w:p>
    <w:p w14:paraId="1020D812" w14:textId="6B6B7D8A" w:rsidR="006367E9" w:rsidRDefault="00AB78ED" w:rsidP="006367E9">
      <w:pPr>
        <w:spacing w:line="480" w:lineRule="auto"/>
        <w:ind w:firstLine="567"/>
        <w:contextualSpacing/>
        <w:rPr>
          <w:lang w:val="en-GB"/>
        </w:rPr>
      </w:pPr>
      <w:r w:rsidRPr="00577052">
        <w:rPr>
          <w:color w:val="000000" w:themeColor="text1"/>
        </w:rPr>
        <w:t>The present study has several limitation</w:t>
      </w:r>
      <w:r w:rsidR="00600B31" w:rsidRPr="00577052">
        <w:rPr>
          <w:color w:val="000000" w:themeColor="text1"/>
        </w:rPr>
        <w:t>s</w:t>
      </w:r>
      <w:r w:rsidRPr="00577052">
        <w:rPr>
          <w:color w:val="000000" w:themeColor="text1"/>
        </w:rPr>
        <w:t xml:space="preserve">. </w:t>
      </w:r>
      <w:r w:rsidR="00C0605C" w:rsidRPr="00577052">
        <w:rPr>
          <w:color w:val="000000" w:themeColor="text1"/>
        </w:rPr>
        <w:t xml:space="preserve">First, </w:t>
      </w:r>
      <w:r w:rsidR="00D37EA0">
        <w:rPr>
          <w:lang w:val="en-GB"/>
        </w:rPr>
        <w:t>only two time points were included in the present study, which precludes us from conducting growth mixture modelling to identify trajectory groups in a data-driven fashion. Second</w:t>
      </w:r>
      <w:commentRangeStart w:id="0"/>
      <w:r w:rsidR="006367E9">
        <w:rPr>
          <w:lang w:val="en-GB"/>
        </w:rPr>
        <w:t xml:space="preserve"> t</w:t>
      </w:r>
      <w:r w:rsidR="006367E9" w:rsidRPr="002201E2">
        <w:rPr>
          <w:lang w:val="en-GB"/>
        </w:rPr>
        <w:t xml:space="preserve">he </w:t>
      </w:r>
      <w:r w:rsidR="006367E9">
        <w:rPr>
          <w:lang w:val="en-GB"/>
        </w:rPr>
        <w:t xml:space="preserve">observed </w:t>
      </w:r>
      <w:r w:rsidR="006367E9" w:rsidRPr="002201E2">
        <w:rPr>
          <w:lang w:val="en-GB"/>
        </w:rPr>
        <w:t xml:space="preserve">prevalence </w:t>
      </w:r>
      <w:r w:rsidR="006367E9">
        <w:rPr>
          <w:lang w:val="en-GB"/>
        </w:rPr>
        <w:t xml:space="preserve">rates </w:t>
      </w:r>
      <w:r w:rsidR="006367E9" w:rsidRPr="002201E2">
        <w:rPr>
          <w:lang w:val="en-GB"/>
        </w:rPr>
        <w:t xml:space="preserve">of probable CIs </w:t>
      </w:r>
      <w:r w:rsidR="006367E9">
        <w:rPr>
          <w:lang w:val="en-GB"/>
        </w:rPr>
        <w:t xml:space="preserve">and persistent cognitive complaint trajectory reported </w:t>
      </w:r>
      <w:r w:rsidR="006367E9" w:rsidRPr="002201E2">
        <w:rPr>
          <w:lang w:val="en-GB"/>
        </w:rPr>
        <w:t xml:space="preserve">in </w:t>
      </w:r>
      <w:r w:rsidR="006367E9">
        <w:rPr>
          <w:lang w:val="en-GB"/>
        </w:rPr>
        <w:t>this</w:t>
      </w:r>
      <w:r w:rsidR="006367E9" w:rsidRPr="002201E2">
        <w:rPr>
          <w:lang w:val="en-GB"/>
        </w:rPr>
        <w:t xml:space="preserve"> study </w:t>
      </w:r>
      <w:r w:rsidR="006367E9">
        <w:rPr>
          <w:lang w:val="en-GB"/>
        </w:rPr>
        <w:t>are</w:t>
      </w:r>
      <w:r w:rsidR="006367E9" w:rsidRPr="002201E2">
        <w:rPr>
          <w:lang w:val="en-GB"/>
        </w:rPr>
        <w:t xml:space="preserve"> </w:t>
      </w:r>
      <w:r w:rsidR="006367E9">
        <w:rPr>
          <w:lang w:val="en-GB"/>
        </w:rPr>
        <w:t>likely</w:t>
      </w:r>
      <w:r w:rsidR="006367E9" w:rsidRPr="002201E2">
        <w:rPr>
          <w:lang w:val="en-GB"/>
        </w:rPr>
        <w:t xml:space="preserve"> </w:t>
      </w:r>
      <w:r w:rsidR="006367E9">
        <w:rPr>
          <w:lang w:val="en-GB"/>
        </w:rPr>
        <w:t xml:space="preserve">to be </w:t>
      </w:r>
      <w:r w:rsidR="006367E9" w:rsidRPr="002201E2">
        <w:rPr>
          <w:lang w:val="en-GB"/>
        </w:rPr>
        <w:t>underestimat</w:t>
      </w:r>
      <w:r w:rsidR="006367E9">
        <w:rPr>
          <w:lang w:val="en-GB"/>
        </w:rPr>
        <w:t>es</w:t>
      </w:r>
      <w:r w:rsidR="006367E9" w:rsidRPr="002201E2">
        <w:rPr>
          <w:lang w:val="en-GB"/>
        </w:rPr>
        <w:t xml:space="preserve"> </w:t>
      </w:r>
      <w:r w:rsidR="006367E9">
        <w:rPr>
          <w:lang w:val="en-GB"/>
        </w:rPr>
        <w:t>since</w:t>
      </w:r>
      <w:r w:rsidR="006367E9" w:rsidRPr="002201E2">
        <w:rPr>
          <w:lang w:val="en-GB"/>
        </w:rPr>
        <w:t xml:space="preserve"> the</w:t>
      </w:r>
      <w:r w:rsidR="006367E9">
        <w:rPr>
          <w:lang w:val="en-GB"/>
        </w:rPr>
        <w:t xml:space="preserve"> KDQOL-CF </w:t>
      </w:r>
      <w:r w:rsidR="006367E9" w:rsidRPr="002201E2">
        <w:rPr>
          <w:lang w:val="en-GB"/>
        </w:rPr>
        <w:t xml:space="preserve">only </w:t>
      </w:r>
      <w:r w:rsidR="006367E9">
        <w:rPr>
          <w:lang w:val="en-GB"/>
        </w:rPr>
        <w:t>contains</w:t>
      </w:r>
      <w:r w:rsidR="006367E9" w:rsidRPr="002201E2">
        <w:rPr>
          <w:lang w:val="en-GB"/>
        </w:rPr>
        <w:t xml:space="preserve"> three items (i.e., slow reaction time, concentration difficulty, and confusion)</w:t>
      </w:r>
      <w:r w:rsidR="006367E9">
        <w:rPr>
          <w:lang w:val="en-GB"/>
        </w:rPr>
        <w:t xml:space="preserve"> which do not capture important</w:t>
      </w:r>
      <w:r w:rsidR="006367E9" w:rsidRPr="002201E2">
        <w:rPr>
          <w:lang w:val="en-GB"/>
        </w:rPr>
        <w:t xml:space="preserve"> domains </w:t>
      </w:r>
      <w:r w:rsidR="006367E9">
        <w:rPr>
          <w:lang w:val="en-GB"/>
        </w:rPr>
        <w:t>such as</w:t>
      </w:r>
      <w:r w:rsidR="006367E9" w:rsidRPr="002201E2">
        <w:rPr>
          <w:lang w:val="en-GB"/>
        </w:rPr>
        <w:t xml:space="preserve"> memory and executive function that have been shown to be most impaired in ESRD patients </w:t>
      </w:r>
      <w:r w:rsidR="006367E9" w:rsidRPr="002201E2">
        <w:rPr>
          <w:color w:val="000000" w:themeColor="text1"/>
        </w:rPr>
        <w:fldChar w:fldCharType="begin" w:fldLock="1"/>
      </w:r>
      <w:r w:rsidR="006367E9" w:rsidRPr="002201E2">
        <w:rPr>
          <w:color w:val="000000" w:themeColor="text1"/>
        </w:rPr>
        <w:instrText>ADDIN CSL_CITATION {"citationItems":[{"id":"ITEM-1","itemData":{"DOI":"10.1053/j.ajkd.2015.12.028","ISSN":"15236838","abstract":"Background Cognitive impairment is associated with poorer quality of life, risk for hospitalization, and mortality. Cognitive impairment is common in people with end-stage kidney disease treated with hemodialysis, yet the severity and specific cognitive deficits are uncertain. Study Design Systematic review and meta-analysis. Setting &amp; Population Adults receiving hemodialysis compared with the general population, people with non-dialysis-dependent chronic kidney disease (NDD-CKD), people receiving peritoneal dialysis, or people with nondialyzed chronic kidney failure. Selection Criteria for Studies Randomized controlled trials, cohort or cross-sectional studies without language restriction. Index Tests Validated neuropsychological tests of cognition. Outcomes Cognitive test scores, aggregated by cognitive domain: orientation and attention, perception, memory, language, construction and motor performance, concept formation and reasoning, and executive functions. Results 42 studies of 3,522 participants. Studies were of high or uncertain risk of bias, assessed by the Newcastle-Ottawa Scale. People treated with hemodialysis had worse cognition than the general population, particularly in attention (n = 22; standardized mean difference [SMD], -0.93; 95% CI, -1.18 to -0.68). Hemodialysis patients performed better than nondialyzed patients with chronic kidney failure in attention (n = 6; SMD, 0.70; 95% CI, 0.45 to 0.96) and memory (n = 6; SMD, 0.36; 95% CI, 0.08 to 0.63), but had poorer memory than the general population (n = 16; SMD, -0.41; 95% CI, -0.91 to 0.09) and people with NDD-CKD (n = 5; SMD, -0.40; 95% CI, -0.60 to -0.21). There were insufficient data to show other differences among people receiving hemodialysis and those receiving peritoneal dialysis or with NDD-CKD. Limitations Potentially biased studies, not wholly adjusted for education. High heterogeneity, mainly due to the large variety of tests used to assess cognition. Conclusions People treated with hemodialysis have impaired cognitive function compared to the general population, particularly in the domains of orientation and attention and executive function. Cognitive deficits in specific domains should be further explored in this population and should be considered when approaching education and chronic disease management.","author":[{"dropping-particle":"","family":"O'Lone","given":"Emma","non-dropping-particle":"","parse-names":false,"suffix":""},{"dropping-particle":"","family":"Connors","given":"Michael","non-dropping-particle":"","parse-names":false,"suffix":""},{"dropping-particle":"","family":"Masson","given":"Philip","non-dropping-particle":"","parse-names":false,"suffix":""},{"dropping-particle":"","family":"Wu","given":"Sunny","non-dropping-particle":"","parse-names":false,"suffix":""},{"dropping-particle":"","family":"Kelly","given":"Patrick J.","non-dropping-particle":"","parse-names":false,"suffix":""},{"dropping-particle":"","family":"Gillespie","given":"David","non-dropping-particle":"","parse-names":false,"suffix":""},{"dropping-particle":"","family":"Parker","given":"Daniel","non-dropping-particle":"","parse-names":false,"suffix":""},{"dropping-particle":"","family":"Whiteley","given":"William","non-dropping-particle":"","parse-names":false,"suffix":""},{"dropping-particle":"","family":"Strippoli","given":"Giovanni F.M.","non-dropping-particle":"","parse-names":false,"suffix":""},{"dropping-particle":"","family":"Palmer","given":"Suetonia C.","non-dropping-particle":"","parse-names":false,"suffix":""},{"dropping-particle":"","family":"Craig","given":"Jonathan C.","non-dropping-particle":"","parse-names":false,"suffix":""},{"dropping-particle":"","family":"Webster","given":"Angela C.","non-dropping-particle":"","parse-names":false,"suffix":""}],"container-title":"American Journal of Kidney Diseases","id":"ITEM-1","issue":"6","issued":{"date-parts":[["2016"]]},"page":"925-935","publisher":"Elsevier Inc","title":"Cognition in people with end-stage kidney disease treated with hemodialysis: A systematic review and meta-analysis","type":"article-journal","volume":"67"},"uris":["http://www.mendeley.com/documents/?uuid=e63ae242-c0c7-4fe8-afb0-1f7650ccf5ad"]},{"id":"ITEM-2","itemData":{"DOI":"10.1093/ndt/gfx240","ISSN":"14602385","PMID":"28992229","abstract":"Background. There is mixed evidence regarding the nature of cognitive function in patients who have undergone renal transplantation. The aim of this meta-analysis was to examine which cognitive domains are impacted following kidney transplantation and how performance compares with non-transplanted patients or healthy controls/normative data. Method. A systematic search was conducted using keywords within three databases (Embase, MEDLINE and PsychINFO), yielding 458 unique studies, 10 of which met the inclusion criteria. Neuropsychological tests were grouped into nine cognitive domains and three separate analyses were undertaken within each domain: (i) within subjects pre-versus post-transplant, (ii) transplanted versus non-transplanted patients and (iii) transplanted versus healthy matched controls and standardized normative data. Results. Transplanted patients showed moderate to large improvements in the domains of general cognitive status (g = 0.526), information and motor speed (g = 0.558), spatial reasoning (g = 0.376), verbal memory (g = 0.759) and visual memory (g = 0.690) when compared with their pre-operative scores. Test scores in the same five domains were significantly better in post-transplanted patients when compared with dialysis-dependant or conservatively managed chronic kidney disease patients. However, post-transplanted patients' performance was significantly low compared with that of healthy controls (and standardized normative data) in the domains of executive functioning (g =-0.283), verbal fluency (g =-0.657) and language (g =-0.573). Conclusions. Two key issues arise from this review. First, domain-specific cognitive improvement occurs in patients after successful transplantation. Nevertheless, transplanted patients still performed significantly below healthy controls in some domains. Second, there are important shortcomings in existing studies; the length of follow-up is typically short and only limited neuropsychological test batteries are employed. These factors are important in order to support the recovery of cognitive function among patients following renal transplant.","author":[{"dropping-particle":"","family":"Joshee","given":"Paras","non-dropping-particle":"","parse-names":false,"suffix":""},{"dropping-particle":"","family":"Wood","given":"Amanda G.","non-dropping-particle":"","parse-names":false,"suffix":""},{"dropping-particle":"","family":"Wood","given":"Eleri R.","non-dropping-particle":"","parse-names":false,"suffix":""},{"dropping-particle":"","family":"Grunfeld","given":"Elizabeth A.","non-dropping-particle":"","parse-names":false,"suffix":""}],"container-title":"Nephrology Dialysis Transplantation","id":"ITEM-2","issued":{"date-parts":[["2018"]]},"page":"1268-1277","title":"Meta-analysis of cognitive functioning in patients following kidney transplantation","type":"article-journal","volume":"33"},"uris":["http://www.mendeley.com/documents/?uuid=424e6d6d-f0bf-4941-8ab9-bd358bb5159d"]}],"mendeley":{"formattedCitation":"(Joshee et al., 2018; O’Lone et al., 2016)","plainTextFormattedCitation":"(Joshee et al., 2018; O’Lone et al., 2016)","previouslyFormattedCitation":"(Joshee et al., 2018; O’Lone et al., 2016)"},"properties":{"noteIndex":0},"schema":"https://github.com/citation-style-language/schema/raw/master/csl-citation.json"}</w:instrText>
      </w:r>
      <w:r w:rsidR="006367E9" w:rsidRPr="002201E2">
        <w:rPr>
          <w:color w:val="000000" w:themeColor="text1"/>
        </w:rPr>
        <w:fldChar w:fldCharType="separate"/>
      </w:r>
      <w:r w:rsidR="006367E9" w:rsidRPr="002201E2">
        <w:rPr>
          <w:noProof/>
          <w:color w:val="000000" w:themeColor="text1"/>
        </w:rPr>
        <w:t>(Joshee et al., 2018; O’Lone et al., 2016)</w:t>
      </w:r>
      <w:r w:rsidR="006367E9" w:rsidRPr="002201E2">
        <w:rPr>
          <w:color w:val="000000" w:themeColor="text1"/>
        </w:rPr>
        <w:fldChar w:fldCharType="end"/>
      </w:r>
      <w:r w:rsidR="006367E9">
        <w:rPr>
          <w:color w:val="000000" w:themeColor="text1"/>
        </w:rPr>
        <w:t xml:space="preserve">. Therefore, a score higher than 60 on this scale may not necessarily </w:t>
      </w:r>
      <w:r w:rsidR="006367E9" w:rsidRPr="002201E2">
        <w:rPr>
          <w:lang w:val="en-GB"/>
        </w:rPr>
        <w:t xml:space="preserve">indicate intact cognitive function and absence of CI </w:t>
      </w:r>
      <w:r w:rsidR="006367E9" w:rsidRPr="002201E2">
        <w:rPr>
          <w:lang w:val="en-GB"/>
        </w:rPr>
        <w:fldChar w:fldCharType="begin" w:fldLock="1"/>
      </w:r>
      <w:r w:rsidR="006367E9" w:rsidRPr="002201E2">
        <w:rPr>
          <w:lang w:val="en-GB"/>
        </w:rPr>
        <w:instrText>ADDIN CSL_CITATION {"citationItems":[{"id":"ITEM-1","itemData":{"DOI":"10.1053/j.ajkd.2011.12.029","ISSN":"02726386","PMID":"22425261","abstract":"Background: Cognitive impairment is common but often undiagnosed in patients with end-stage renal disease, in part reflecting limited validated and easily administered tools to assess cognitive function in dialysis patients. Accordingly, we assessed the utility of the Kidney Disease Quality of Life Cognitive Function (KDQOL-CF) scale in comparison to an extensive neuropsychological battery, building on a prior assessment of this potential cognitive screen. Study Design: Cross-sectional cohort. Setting &amp; Participants: Maintenance hemodialysis patients at 6 Boston area dialysis units were administered an extensive neurocognitive battery and the KDQOL-CF at the beginning of a hemodialysis session. Predictors: KDQOL-CF score, depression symptom burden, and demographic and clinical characteristics. Outcomes: Neurocognitive performance classified into executive function and memory domains, determined using principal components analysis. Measurements: Univariate and multivariable linear regression models adjusting for age, sex, race, and end-stage renal disease cause were used to evaluate the association between KDQOL-CF score and cognitive performance, and test metrics were determined for a KDQOL-CF cutoff score of 60 or less from a maximum score of 100. Results: For 168 prevalent hemodialysis patients, KDQOL-CF score was 76 ± 19 and 40 (24%) had scores of 60 or less, consistent with self-identified worse cognitive performance. There was no significant correlation between KDQOL-CF score and either memory (P = 0.2 and P = 0.3) or executive function (P = 0.1 and P = 0.4) in univariate and multivariable models, respectively. There was a strong correlation between higher KDQOL-CF score and fewer depression symptoms (P &lt; 0.001). Sensitivity of the KDQOL-CF was poor (range, 0.28-0.36), with modest specificity (range, 0.77-0.81) for identifying worse executive function and memory. Limitations: Cross-sectional study, modest population size, and abbreviated gold-standard cognitive battery. Conclusions: The KDQOL-CF is a poor determinant of neurocognitive performance in hemodialysis patients, with limited sensitivity. To assess cognitive impairment in hemodialysis patients, better screening tests are essential. © 2012 National Kidney Foundation, Inc.","author":[{"dropping-particle":"","family":"Sorensen","given":"Eric P.","non-dropping-particle":"","parse-names":false,"suffix":""},{"dropping-particle":"","family":"Sarnak","given":"Mark J.","non-dropping-particle":"","parse-names":false,"suffix":""},{"dropping-particle":"","family":"Tighiouart","given":"Hocine","non-dropping-particle":"","parse-names":false,"suffix":""},{"dropping-particle":"","family":"Scott","given":"Tammy","non-dropping-particle":"","parse-names":false,"suffix":""},{"dropping-particle":"","family":"Giang","given":"Lena M.","non-dropping-particle":"","parse-names":false,"suffix":""},{"dropping-particle":"","family":"Kirkpatrick","given":"Bethany","non-dropping-particle":"","parse-names":false,"suffix":""},{"dropping-particle":"","family":"Lou","given":"Kristina","non-dropping-particle":"","parse-names":false,"suffix":""},{"dropping-particle":"","family":"Weiner","given":"Daniel E.","non-dropping-particle":"","parse-names":false,"suffix":""}],"container-title":"American Journal of Kidney Diseases","id":"ITEM-1","issue":"3","issued":{"date-parts":[["2012"]]},"page":"417-426","publisher":"Elsevier Inc.","title":"The Kidney Disease Quality of Life Cognitive Function subscale and cognitive performance in maintenance hemodialysis patients","type":"article-journal","volume":"60"},"uris":["http://www.mendeley.com/documents/?uuid=ef96603d-5b14-4d23-9d8c-bbfa2923ed1a"]}],"mendeley":{"formattedCitation":"(Sorensen et al., 2012)","plainTextFormattedCitation":"(Sorensen et al., 2012)","previouslyFormattedCitation":"(Sorensen et al., 2012)"},"properties":{"noteIndex":0},"schema":"https://github.com/citation-style-language/schema/raw/master/csl-citation.json"}</w:instrText>
      </w:r>
      <w:r w:rsidR="006367E9" w:rsidRPr="002201E2">
        <w:rPr>
          <w:lang w:val="en-GB"/>
        </w:rPr>
        <w:fldChar w:fldCharType="separate"/>
      </w:r>
      <w:r w:rsidR="006367E9" w:rsidRPr="002201E2">
        <w:rPr>
          <w:noProof/>
          <w:lang w:val="en-GB"/>
        </w:rPr>
        <w:t>(Sorensen et al., 2012)</w:t>
      </w:r>
      <w:r w:rsidR="006367E9" w:rsidRPr="002201E2">
        <w:rPr>
          <w:lang w:val="en-GB"/>
        </w:rPr>
        <w:fldChar w:fldCharType="end"/>
      </w:r>
      <w:r w:rsidR="006367E9" w:rsidRPr="002201E2">
        <w:rPr>
          <w:lang w:val="en-GB"/>
        </w:rPr>
        <w:t>.</w:t>
      </w:r>
      <w:r w:rsidR="006367E9">
        <w:rPr>
          <w:lang w:val="en-GB"/>
        </w:rPr>
        <w:t xml:space="preserve"> Revision to the KDQOL-CF scale may be needed for a more accurate estimate of the extent of SCCs in the dialysis population.</w:t>
      </w:r>
      <w:commentRangeEnd w:id="0"/>
      <w:r w:rsidR="006367E9">
        <w:rPr>
          <w:rStyle w:val="CommentReference"/>
          <w:rFonts w:asciiTheme="minorHAnsi" w:eastAsiaTheme="minorEastAsia" w:hAnsiTheme="minorHAnsi" w:cstheme="minorBidi"/>
        </w:rPr>
        <w:commentReference w:id="0"/>
      </w:r>
    </w:p>
    <w:p w14:paraId="24D8A550" w14:textId="570DD3F9" w:rsidR="009663BE" w:rsidRPr="00577052" w:rsidRDefault="00394BF7" w:rsidP="006E0A6F">
      <w:pPr>
        <w:spacing w:line="480" w:lineRule="auto"/>
        <w:ind w:firstLine="567"/>
        <w:contextualSpacing/>
        <w:rPr>
          <w:lang w:val="en-GB"/>
        </w:rPr>
      </w:pPr>
      <w:r w:rsidRPr="00577052">
        <w:rPr>
          <w:color w:val="000000" w:themeColor="text1"/>
        </w:rPr>
        <w:lastRenderedPageBreak/>
        <w:t>as mentioned the KDQOL-CF measure is not a comprehensive measure of SCC</w:t>
      </w:r>
      <w:r w:rsidR="00303C42" w:rsidRPr="00577052">
        <w:rPr>
          <w:color w:val="000000" w:themeColor="text1"/>
        </w:rPr>
        <w:t>s. To obtain a better understanding of these complaints in HD patients, more lengthy question</w:t>
      </w:r>
      <w:r w:rsidR="00293282" w:rsidRPr="00577052">
        <w:rPr>
          <w:color w:val="000000" w:themeColor="text1"/>
        </w:rPr>
        <w:t>naire</w:t>
      </w:r>
      <w:r w:rsidR="00303C42" w:rsidRPr="00577052">
        <w:rPr>
          <w:color w:val="000000" w:themeColor="text1"/>
        </w:rPr>
        <w:t xml:space="preserve">s </w:t>
      </w:r>
      <w:r w:rsidR="00293282" w:rsidRPr="00577052">
        <w:rPr>
          <w:color w:val="000000" w:themeColor="text1"/>
        </w:rPr>
        <w:t>can be used</w:t>
      </w:r>
      <w:r w:rsidR="00707FAA">
        <w:rPr>
          <w:color w:val="000000" w:themeColor="text1"/>
        </w:rPr>
        <w:t xml:space="preserve"> in future</w:t>
      </w:r>
      <w:r w:rsidR="00BC0925">
        <w:rPr>
          <w:color w:val="000000" w:themeColor="text1"/>
        </w:rPr>
        <w:t xml:space="preserve"> studies</w:t>
      </w:r>
      <w:r w:rsidR="006A4A72" w:rsidRPr="00577052">
        <w:rPr>
          <w:color w:val="000000" w:themeColor="text1"/>
        </w:rPr>
        <w:t xml:space="preserve">. </w:t>
      </w:r>
      <w:r w:rsidR="003E5BD8">
        <w:rPr>
          <w:lang w:val="en-GB"/>
        </w:rPr>
        <w:t>Also, the use of binary classification of the KDQOL-CF scores may have resulted in loss of information</w:t>
      </w:r>
      <w:r w:rsidR="00B116D9">
        <w:rPr>
          <w:lang w:val="en-GB"/>
        </w:rPr>
        <w:t xml:space="preserve"> as it fails to capture longitudinal changes in continuous scores in each trajectory group.</w:t>
      </w:r>
      <w:r w:rsidR="006E0A6F">
        <w:rPr>
          <w:lang w:val="en-GB"/>
        </w:rPr>
        <w:t xml:space="preserve"> </w:t>
      </w:r>
      <w:r w:rsidR="00C10013" w:rsidRPr="00577052">
        <w:rPr>
          <w:lang w:val="en-GB"/>
        </w:rPr>
        <w:t>Despite the limitation</w:t>
      </w:r>
      <w:r w:rsidR="00B66764" w:rsidRPr="00577052">
        <w:rPr>
          <w:lang w:val="en-GB"/>
        </w:rPr>
        <w:t>s</w:t>
      </w:r>
      <w:r w:rsidR="00C10013" w:rsidRPr="00577052">
        <w:rPr>
          <w:lang w:val="en-GB"/>
        </w:rPr>
        <w:t xml:space="preserve">, the current study </w:t>
      </w:r>
      <w:r w:rsidR="00B66764" w:rsidRPr="00577052">
        <w:rPr>
          <w:lang w:val="en-GB"/>
        </w:rPr>
        <w:t xml:space="preserve">adopted a </w:t>
      </w:r>
      <w:r w:rsidR="00DF2D4C" w:rsidRPr="00577052">
        <w:rPr>
          <w:lang w:val="en-GB"/>
        </w:rPr>
        <w:t>prospective</w:t>
      </w:r>
      <w:r w:rsidR="00B66764" w:rsidRPr="00577052">
        <w:rPr>
          <w:lang w:val="en-GB"/>
        </w:rPr>
        <w:t xml:space="preserve"> design</w:t>
      </w:r>
      <w:r w:rsidR="0002743B" w:rsidRPr="00577052">
        <w:rPr>
          <w:lang w:val="en-GB"/>
        </w:rPr>
        <w:t xml:space="preserve"> and demonstrated </w:t>
      </w:r>
      <w:r w:rsidR="00DF2D4C" w:rsidRPr="00577052">
        <w:rPr>
          <w:lang w:val="en-GB"/>
        </w:rPr>
        <w:t xml:space="preserve">the longitudinal </w:t>
      </w:r>
      <w:r w:rsidR="001472EF">
        <w:rPr>
          <w:lang w:val="en-GB"/>
        </w:rPr>
        <w:t>associations</w:t>
      </w:r>
      <w:r w:rsidR="00DF2D4C" w:rsidRPr="00577052">
        <w:rPr>
          <w:lang w:val="en-GB"/>
        </w:rPr>
        <w:t xml:space="preserve"> of </w:t>
      </w:r>
      <w:r w:rsidR="001472EF">
        <w:rPr>
          <w:lang w:val="en-GB"/>
        </w:rPr>
        <w:t>SCCs</w:t>
      </w:r>
      <w:r w:rsidR="00DF2D4C" w:rsidRPr="00577052">
        <w:rPr>
          <w:lang w:val="en-GB"/>
        </w:rPr>
        <w:t xml:space="preserve"> </w:t>
      </w:r>
      <w:r w:rsidR="001472EF">
        <w:rPr>
          <w:lang w:val="en-GB"/>
        </w:rPr>
        <w:t>with</w:t>
      </w:r>
      <w:r w:rsidR="00DF2D4C" w:rsidRPr="00577052">
        <w:rPr>
          <w:lang w:val="en-GB"/>
        </w:rPr>
        <w:t xml:space="preserve"> clinical, behavioural, and psychosocial outcomes</w:t>
      </w:r>
      <w:r w:rsidR="006E0A6F">
        <w:rPr>
          <w:lang w:val="en-GB"/>
        </w:rPr>
        <w:t xml:space="preserve"> in dialysis patients</w:t>
      </w:r>
      <w:r w:rsidR="00DF2D4C" w:rsidRPr="00577052">
        <w:rPr>
          <w:lang w:val="en-GB"/>
        </w:rPr>
        <w:t xml:space="preserve">. </w:t>
      </w:r>
      <w:r w:rsidR="00490696">
        <w:rPr>
          <w:lang w:val="en-GB"/>
        </w:rPr>
        <w:t>SCCs</w:t>
      </w:r>
      <w:r w:rsidR="007E292E" w:rsidRPr="00577052">
        <w:rPr>
          <w:lang w:val="en-GB"/>
        </w:rPr>
        <w:t xml:space="preserve"> </w:t>
      </w:r>
      <w:r w:rsidR="00CD0A55" w:rsidRPr="00577052">
        <w:rPr>
          <w:lang w:val="en-GB"/>
        </w:rPr>
        <w:t xml:space="preserve">may be a risk factor </w:t>
      </w:r>
      <w:r w:rsidR="00D66772">
        <w:rPr>
          <w:lang w:val="en-GB"/>
        </w:rPr>
        <w:t>for</w:t>
      </w:r>
      <w:r w:rsidR="00187BD8" w:rsidRPr="00577052">
        <w:rPr>
          <w:lang w:val="en-GB"/>
        </w:rPr>
        <w:t xml:space="preserve"> poor prognosis in HD patients </w:t>
      </w:r>
      <w:r w:rsidR="008B58DE" w:rsidRPr="00577052">
        <w:rPr>
          <w:lang w:val="en-GB"/>
        </w:rPr>
        <w:t xml:space="preserve">and </w:t>
      </w:r>
      <w:r w:rsidR="00412ED6" w:rsidRPr="00577052">
        <w:rPr>
          <w:lang w:val="en-GB"/>
        </w:rPr>
        <w:t xml:space="preserve">therefore screening for </w:t>
      </w:r>
      <w:r w:rsidR="00490696">
        <w:rPr>
          <w:lang w:val="en-GB"/>
        </w:rPr>
        <w:t>SCCs</w:t>
      </w:r>
      <w:r w:rsidR="00412ED6" w:rsidRPr="00577052">
        <w:rPr>
          <w:lang w:val="en-GB"/>
        </w:rPr>
        <w:t xml:space="preserve"> </w:t>
      </w:r>
      <w:r w:rsidR="00F873C6" w:rsidRPr="00577052">
        <w:rPr>
          <w:lang w:val="en-GB"/>
        </w:rPr>
        <w:t xml:space="preserve">may </w:t>
      </w:r>
      <w:r w:rsidR="00CB6778" w:rsidRPr="00577052">
        <w:rPr>
          <w:lang w:val="en-GB"/>
        </w:rPr>
        <w:t>allow for early identification of those at higher risks of cognitive decline and nonadherence.</w:t>
      </w:r>
      <w:r w:rsidR="00614D2C" w:rsidRPr="00577052">
        <w:rPr>
          <w:lang w:val="en-GB"/>
        </w:rPr>
        <w:t xml:space="preserve"> </w:t>
      </w:r>
      <w:r w:rsidR="002F4680">
        <w:rPr>
          <w:lang w:val="en-GB"/>
        </w:rPr>
        <w:t>SCCs</w:t>
      </w:r>
      <w:r w:rsidR="00C165EC" w:rsidRPr="00577052">
        <w:rPr>
          <w:lang w:val="en-GB"/>
        </w:rPr>
        <w:t xml:space="preserve"> </w:t>
      </w:r>
      <w:r w:rsidR="008B58DE" w:rsidRPr="00577052">
        <w:rPr>
          <w:lang w:val="en-GB"/>
        </w:rPr>
        <w:t xml:space="preserve">may </w:t>
      </w:r>
      <w:r w:rsidR="00C165EC" w:rsidRPr="00577052">
        <w:rPr>
          <w:lang w:val="en-GB"/>
        </w:rPr>
        <w:t xml:space="preserve">also </w:t>
      </w:r>
      <w:r w:rsidR="008B58DE" w:rsidRPr="00577052">
        <w:rPr>
          <w:lang w:val="en-GB"/>
        </w:rPr>
        <w:t xml:space="preserve">be a potential target </w:t>
      </w:r>
      <w:r w:rsidR="00B74084" w:rsidRPr="00577052">
        <w:rPr>
          <w:lang w:val="en-GB"/>
        </w:rPr>
        <w:t xml:space="preserve">in </w:t>
      </w:r>
      <w:r w:rsidR="00291021" w:rsidRPr="00577052">
        <w:rPr>
          <w:lang w:val="en-GB"/>
        </w:rPr>
        <w:t xml:space="preserve">future </w:t>
      </w:r>
      <w:r w:rsidR="00EB5D1D" w:rsidRPr="00577052">
        <w:rPr>
          <w:lang w:val="en-GB"/>
        </w:rPr>
        <w:t xml:space="preserve">intervention studies </w:t>
      </w:r>
      <w:r w:rsidR="00A02C40" w:rsidRPr="00577052">
        <w:rPr>
          <w:lang w:val="en-GB"/>
        </w:rPr>
        <w:t xml:space="preserve">that aim to </w:t>
      </w:r>
      <w:r w:rsidR="00EC7DF6" w:rsidRPr="00577052">
        <w:rPr>
          <w:lang w:val="en-GB"/>
        </w:rPr>
        <w:t xml:space="preserve">prevent </w:t>
      </w:r>
      <w:r w:rsidR="002F4680">
        <w:rPr>
          <w:lang w:val="en-GB"/>
        </w:rPr>
        <w:t xml:space="preserve">exacerbation of </w:t>
      </w:r>
      <w:r w:rsidR="00EC7DF6" w:rsidRPr="00577052">
        <w:rPr>
          <w:lang w:val="en-GB"/>
        </w:rPr>
        <w:t xml:space="preserve">cognitive decline and </w:t>
      </w:r>
      <w:r w:rsidR="00A02C40" w:rsidRPr="00577052">
        <w:rPr>
          <w:lang w:val="en-GB"/>
        </w:rPr>
        <w:t>promote self-care behaviour in this population.</w:t>
      </w:r>
      <w:r w:rsidR="00E6438C" w:rsidRPr="00577052">
        <w:rPr>
          <w:lang w:val="en-GB"/>
        </w:rPr>
        <w:t xml:space="preserve"> </w:t>
      </w:r>
      <w:r w:rsidR="00CA4D30" w:rsidRPr="00577052">
        <w:rPr>
          <w:lang w:val="en-GB"/>
        </w:rPr>
        <w:t xml:space="preserve">Research on SCCs in ESRD patients is still in its infancy. A better understanding of this problem based on both quantitative and qualitative evidence </w:t>
      </w:r>
      <w:r w:rsidR="008507BD" w:rsidRPr="00577052">
        <w:rPr>
          <w:lang w:val="en-GB"/>
        </w:rPr>
        <w:t>is expected to</w:t>
      </w:r>
      <w:r w:rsidR="00CA4D30" w:rsidRPr="00577052">
        <w:rPr>
          <w:lang w:val="en-GB"/>
        </w:rPr>
        <w:t xml:space="preserve"> </w:t>
      </w:r>
      <w:r w:rsidR="00BF76C9" w:rsidRPr="00577052">
        <w:rPr>
          <w:lang w:val="en-GB"/>
        </w:rPr>
        <w:t xml:space="preserve">improve </w:t>
      </w:r>
      <w:r w:rsidR="00325F30" w:rsidRPr="00577052">
        <w:rPr>
          <w:lang w:val="en-GB"/>
        </w:rPr>
        <w:t>future renal care services.</w:t>
      </w:r>
    </w:p>
    <w:p w14:paraId="14E44F7F" w14:textId="77777777" w:rsidR="00336CBD" w:rsidRPr="00577052" w:rsidRDefault="00336CBD" w:rsidP="00577052">
      <w:pPr>
        <w:spacing w:line="480" w:lineRule="auto"/>
        <w:contextualSpacing/>
        <w:rPr>
          <w:lang w:val="en-GB"/>
        </w:rPr>
      </w:pPr>
    </w:p>
    <w:p w14:paraId="47EC436F" w14:textId="77777777" w:rsidR="00BC115B" w:rsidRPr="00577052" w:rsidRDefault="00BC115B" w:rsidP="00577052">
      <w:pPr>
        <w:spacing w:line="480" w:lineRule="auto"/>
        <w:contextualSpacing/>
        <w:rPr>
          <w:lang w:val="en-GB"/>
        </w:rPr>
        <w:sectPr w:rsidR="00BC115B" w:rsidRPr="00577052" w:rsidSect="00A344FD">
          <w:pgSz w:w="11900" w:h="16840"/>
          <w:pgMar w:top="1440" w:right="1440" w:bottom="1440" w:left="1440" w:header="708" w:footer="708" w:gutter="0"/>
          <w:cols w:space="708"/>
          <w:docGrid w:linePitch="360"/>
        </w:sectPr>
      </w:pPr>
    </w:p>
    <w:p w14:paraId="02EB8B1E" w14:textId="3DA67B8E" w:rsidR="009765EB" w:rsidRPr="00577052" w:rsidRDefault="009765EB" w:rsidP="00577052">
      <w:pPr>
        <w:spacing w:line="480" w:lineRule="auto"/>
        <w:contextualSpacing/>
        <w:jc w:val="center"/>
        <w:rPr>
          <w:b/>
          <w:bCs/>
          <w:lang w:val="en-GB"/>
        </w:rPr>
      </w:pPr>
      <w:r w:rsidRPr="00577052">
        <w:rPr>
          <w:b/>
          <w:bCs/>
          <w:lang w:val="en-GB"/>
        </w:rPr>
        <w:lastRenderedPageBreak/>
        <w:t>References</w:t>
      </w:r>
    </w:p>
    <w:p w14:paraId="2A8128AA" w14:textId="206CFF88" w:rsidR="00FC0103" w:rsidRPr="00FC0103" w:rsidRDefault="001101B4" w:rsidP="00FC0103">
      <w:pPr>
        <w:widowControl w:val="0"/>
        <w:autoSpaceDE w:val="0"/>
        <w:autoSpaceDN w:val="0"/>
        <w:adjustRightInd w:val="0"/>
        <w:spacing w:line="480" w:lineRule="auto"/>
        <w:ind w:left="480" w:hanging="480"/>
        <w:rPr>
          <w:noProof/>
          <w:lang w:val="en-GB"/>
        </w:rPr>
      </w:pPr>
      <w:r w:rsidRPr="00577052">
        <w:rPr>
          <w:lang w:val="en-GB"/>
        </w:rPr>
        <w:fldChar w:fldCharType="begin" w:fldLock="1"/>
      </w:r>
      <w:r w:rsidRPr="00577052">
        <w:rPr>
          <w:lang w:val="en-GB"/>
        </w:rPr>
        <w:instrText xml:space="preserve">ADDIN Mendeley Bibliography CSL_BIBLIOGRAPHY </w:instrText>
      </w:r>
      <w:r w:rsidRPr="00577052">
        <w:rPr>
          <w:lang w:val="en-GB"/>
        </w:rPr>
        <w:fldChar w:fldCharType="separate"/>
      </w:r>
      <w:r w:rsidR="00FC0103" w:rsidRPr="00FC0103">
        <w:rPr>
          <w:noProof/>
          <w:lang w:val="en-GB"/>
        </w:rPr>
        <w:t xml:space="preserve">Alosco, M. L., Spitznagel, M. B., Van Dulmen, M., Raz, N., Cohen, R., Sweet, L. H., Colbert, L. H., Josephson, R., Hughes, J., Rosneck, J., &amp; Gunstad, J. (2012). Cognitive function and treatment adherence in older adults with heart failure. </w:t>
      </w:r>
      <w:r w:rsidR="00FC0103" w:rsidRPr="00FC0103">
        <w:rPr>
          <w:i/>
          <w:iCs/>
          <w:noProof/>
          <w:lang w:val="en-GB"/>
        </w:rPr>
        <w:t>Psychosomatic Medicine</w:t>
      </w:r>
      <w:r w:rsidR="00FC0103" w:rsidRPr="00FC0103">
        <w:rPr>
          <w:noProof/>
          <w:lang w:val="en-GB"/>
        </w:rPr>
        <w:t xml:space="preserve">, </w:t>
      </w:r>
      <w:r w:rsidR="00FC0103" w:rsidRPr="00FC0103">
        <w:rPr>
          <w:i/>
          <w:iCs/>
          <w:noProof/>
          <w:lang w:val="en-GB"/>
        </w:rPr>
        <w:t>74</w:t>
      </w:r>
      <w:r w:rsidR="00FC0103" w:rsidRPr="00FC0103">
        <w:rPr>
          <w:noProof/>
          <w:lang w:val="en-GB"/>
        </w:rPr>
        <w:t>, 965–973. https://doi.org/10.1097/PSY.0b013e318272ef2a</w:t>
      </w:r>
    </w:p>
    <w:p w14:paraId="3801D6F4"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Ayda, R., Anna, K., Franziska, K., &amp; Frank, J. (2022). Psychotherapeutic interventions in individuals at risk for Alzheimer’s dementia: a systematic review. </w:t>
      </w:r>
      <w:r w:rsidRPr="00FC0103">
        <w:rPr>
          <w:i/>
          <w:iCs/>
          <w:noProof/>
          <w:lang w:val="en-GB"/>
        </w:rPr>
        <w:t>Alzheimer’s Research &amp; Therapy</w:t>
      </w:r>
      <w:r w:rsidRPr="00FC0103">
        <w:rPr>
          <w:noProof/>
          <w:lang w:val="en-GB"/>
        </w:rPr>
        <w:t xml:space="preserve">, </w:t>
      </w:r>
      <w:r w:rsidRPr="00FC0103">
        <w:rPr>
          <w:i/>
          <w:iCs/>
          <w:noProof/>
          <w:lang w:val="en-GB"/>
        </w:rPr>
        <w:t>14</w:t>
      </w:r>
      <w:r w:rsidRPr="00FC0103">
        <w:rPr>
          <w:noProof/>
          <w:lang w:val="en-GB"/>
        </w:rPr>
        <w:t>, 18. https://doi.org/10.1186/s13195-021-00956-8</w:t>
      </w:r>
    </w:p>
    <w:p w14:paraId="39A01646"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Berger, I., Wu, S., Masson, P., Kelly, P. J., Duthie, F. A., Whiteley, W., Parker, D., Gillespie, D., &amp; Webster, A. C. (2016). Cognition in chronic kidney disease: A systematic review and meta-analysis. </w:t>
      </w:r>
      <w:r w:rsidRPr="00FC0103">
        <w:rPr>
          <w:i/>
          <w:iCs/>
          <w:noProof/>
          <w:lang w:val="en-GB"/>
        </w:rPr>
        <w:t>BMC Medicine</w:t>
      </w:r>
      <w:r w:rsidRPr="00FC0103">
        <w:rPr>
          <w:noProof/>
          <w:lang w:val="en-GB"/>
        </w:rPr>
        <w:t xml:space="preserve">, </w:t>
      </w:r>
      <w:r w:rsidRPr="00FC0103">
        <w:rPr>
          <w:i/>
          <w:iCs/>
          <w:noProof/>
          <w:lang w:val="en-GB"/>
        </w:rPr>
        <w:t>14</w:t>
      </w:r>
      <w:r w:rsidRPr="00FC0103">
        <w:rPr>
          <w:noProof/>
          <w:lang w:val="en-GB"/>
        </w:rPr>
        <w:t>, 206. https://doi.org/10.1186/s12916-016-0745-9</w:t>
      </w:r>
    </w:p>
    <w:p w14:paraId="4D8347C8"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Bhome, R., Berry, A. J., Huntley, J. D., &amp; Howard, R. J. (2018). Interventions for subjective cognitive decline: systematic review and meta-analysis. </w:t>
      </w:r>
      <w:r w:rsidRPr="00FC0103">
        <w:rPr>
          <w:i/>
          <w:iCs/>
          <w:noProof/>
          <w:lang w:val="en-GB"/>
        </w:rPr>
        <w:t>BMJ Open</w:t>
      </w:r>
      <w:r w:rsidRPr="00FC0103">
        <w:rPr>
          <w:noProof/>
          <w:lang w:val="en-GB"/>
        </w:rPr>
        <w:t xml:space="preserve">, </w:t>
      </w:r>
      <w:r w:rsidRPr="00FC0103">
        <w:rPr>
          <w:i/>
          <w:iCs/>
          <w:noProof/>
          <w:lang w:val="en-GB"/>
        </w:rPr>
        <w:t>8</w:t>
      </w:r>
      <w:r w:rsidRPr="00FC0103">
        <w:rPr>
          <w:noProof/>
          <w:lang w:val="en-GB"/>
        </w:rPr>
        <w:t>, e021610. https://doi.org/10.1136/bmjopen-2018-021610</w:t>
      </w:r>
    </w:p>
    <w:p w14:paraId="4065A104"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Bossola, M., Antocicco, M., Di Stasio, E., Ciciarelli, C., Luciani, G., Tazza, L., Rosa, F., &amp; Onder, G. (2011). Mini Mental State Examination over time in chronic hemodialysis patients. </w:t>
      </w:r>
      <w:r w:rsidRPr="00FC0103">
        <w:rPr>
          <w:i/>
          <w:iCs/>
          <w:noProof/>
          <w:lang w:val="en-GB"/>
        </w:rPr>
        <w:t>Journal of Psychosomatic Research</w:t>
      </w:r>
      <w:r w:rsidRPr="00FC0103">
        <w:rPr>
          <w:noProof/>
          <w:lang w:val="en-GB"/>
        </w:rPr>
        <w:t xml:space="preserve">, </w:t>
      </w:r>
      <w:r w:rsidRPr="00FC0103">
        <w:rPr>
          <w:i/>
          <w:iCs/>
          <w:noProof/>
          <w:lang w:val="en-GB"/>
        </w:rPr>
        <w:t>71</w:t>
      </w:r>
      <w:r w:rsidRPr="00FC0103">
        <w:rPr>
          <w:noProof/>
          <w:lang w:val="en-GB"/>
        </w:rPr>
        <w:t>, 50–54. https://doi.org/10.1016/j.jpsychores.2011.01.001</w:t>
      </w:r>
    </w:p>
    <w:p w14:paraId="15DEFCBC"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Brodski, J., Rossell, S. L., Castle, D. J., &amp; Tan, E. J. (2019). A systematic review of cognitive impairments associated with kidney failure in adults before natural age-related changes. </w:t>
      </w:r>
      <w:r w:rsidRPr="00FC0103">
        <w:rPr>
          <w:i/>
          <w:iCs/>
          <w:noProof/>
          <w:lang w:val="en-GB"/>
        </w:rPr>
        <w:t>Journal of the International Neuropsychological Society</w:t>
      </w:r>
      <w:r w:rsidRPr="00FC0103">
        <w:rPr>
          <w:noProof/>
          <w:lang w:val="en-GB"/>
        </w:rPr>
        <w:t xml:space="preserve">, </w:t>
      </w:r>
      <w:r w:rsidRPr="00FC0103">
        <w:rPr>
          <w:i/>
          <w:iCs/>
          <w:noProof/>
          <w:lang w:val="en-GB"/>
        </w:rPr>
        <w:t>25</w:t>
      </w:r>
      <w:r w:rsidRPr="00FC0103">
        <w:rPr>
          <w:noProof/>
          <w:lang w:val="en-GB"/>
        </w:rPr>
        <w:t>, 101–114. https://doi.org/10.1017/S1355617718000917</w:t>
      </w:r>
    </w:p>
    <w:p w14:paraId="26926974"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Chan, A. H. Y., Horne, R., Hankins, M., &amp; Chisari, C. (2020). The Medication Adherence Report Scale: A measurement tool for eliciting patients’ reports of nonadherence. </w:t>
      </w:r>
      <w:r w:rsidRPr="00FC0103">
        <w:rPr>
          <w:i/>
          <w:iCs/>
          <w:noProof/>
          <w:lang w:val="en-GB"/>
        </w:rPr>
        <w:t>British Journal of Clinical Pharmacology</w:t>
      </w:r>
      <w:r w:rsidRPr="00FC0103">
        <w:rPr>
          <w:noProof/>
          <w:lang w:val="en-GB"/>
        </w:rPr>
        <w:t xml:space="preserve">, </w:t>
      </w:r>
      <w:r w:rsidRPr="00FC0103">
        <w:rPr>
          <w:i/>
          <w:iCs/>
          <w:noProof/>
          <w:lang w:val="en-GB"/>
        </w:rPr>
        <w:t>86</w:t>
      </w:r>
      <w:r w:rsidRPr="00FC0103">
        <w:rPr>
          <w:noProof/>
          <w:lang w:val="en-GB"/>
        </w:rPr>
        <w:t>, 1281–1288. https://doi.org/10.1111/bcp.14193</w:t>
      </w:r>
    </w:p>
    <w:p w14:paraId="59E4409C"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lastRenderedPageBreak/>
        <w:t xml:space="preserve">Charlson, M. E., Pompei, P., Ales, K. L., &amp; MacKenzie, C. R. (1987). A new method of classifying prognostic comorbodity in longitudinal studies: development and validation. </w:t>
      </w:r>
      <w:r w:rsidRPr="00FC0103">
        <w:rPr>
          <w:i/>
          <w:iCs/>
          <w:noProof/>
          <w:lang w:val="en-GB"/>
        </w:rPr>
        <w:t>Journal of Chronic Diseases</w:t>
      </w:r>
      <w:r w:rsidRPr="00FC0103">
        <w:rPr>
          <w:noProof/>
          <w:lang w:val="en-GB"/>
        </w:rPr>
        <w:t xml:space="preserve">, </w:t>
      </w:r>
      <w:r w:rsidRPr="00FC0103">
        <w:rPr>
          <w:i/>
          <w:iCs/>
          <w:noProof/>
          <w:lang w:val="en-GB"/>
        </w:rPr>
        <w:t>40</w:t>
      </w:r>
      <w:r w:rsidRPr="00FC0103">
        <w:rPr>
          <w:noProof/>
          <w:lang w:val="en-GB"/>
        </w:rPr>
        <w:t>(5), 373–383.</w:t>
      </w:r>
    </w:p>
    <w:p w14:paraId="248F86BA"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Chen, J. Y., Choi, E. P. H., Wan, E. Y. F., Chan, A. K. C., Tsang, J. P. Y., Chan, K. H. Y., Lo, W. K., Lui, S. L., Chu, W. L., &amp; Lam, C. L. K. (2016). Validation of the disease-specific components of the kidney disease quality of Life-36 (KDQOL-36) in Chinese patients undergoing maintenance dialysis. </w:t>
      </w:r>
      <w:r w:rsidRPr="00FC0103">
        <w:rPr>
          <w:i/>
          <w:iCs/>
          <w:noProof/>
          <w:lang w:val="en-GB"/>
        </w:rPr>
        <w:t>PLoS ONE</w:t>
      </w:r>
      <w:r w:rsidRPr="00FC0103">
        <w:rPr>
          <w:noProof/>
          <w:lang w:val="en-GB"/>
        </w:rPr>
        <w:t xml:space="preserve">, </w:t>
      </w:r>
      <w:r w:rsidRPr="00FC0103">
        <w:rPr>
          <w:i/>
          <w:iCs/>
          <w:noProof/>
          <w:lang w:val="en-GB"/>
        </w:rPr>
        <w:t>11</w:t>
      </w:r>
      <w:r w:rsidRPr="00FC0103">
        <w:rPr>
          <w:noProof/>
          <w:lang w:val="en-GB"/>
        </w:rPr>
        <w:t>(5), e0155188. https://doi.org/10.1371/journal.pone.0155188</w:t>
      </w:r>
    </w:p>
    <w:p w14:paraId="3130502F"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Cho, M. H., Shin, D. W., Chang, S. A., Lee, J. E., Jeong, S. M., Kim, S. H., Yun, J. M., &amp; Son, K. (2018). Association between cognitive impairment and poor antihypertensive medication adherence in elderly hypertensive patients without dementia. </w:t>
      </w:r>
      <w:r w:rsidRPr="00FC0103">
        <w:rPr>
          <w:i/>
          <w:iCs/>
          <w:noProof/>
          <w:lang w:val="en-GB"/>
        </w:rPr>
        <w:t>Scientific Reports</w:t>
      </w:r>
      <w:r w:rsidRPr="00FC0103">
        <w:rPr>
          <w:noProof/>
          <w:lang w:val="en-GB"/>
        </w:rPr>
        <w:t xml:space="preserve">, </w:t>
      </w:r>
      <w:r w:rsidRPr="00FC0103">
        <w:rPr>
          <w:i/>
          <w:iCs/>
          <w:noProof/>
          <w:lang w:val="en-GB"/>
        </w:rPr>
        <w:t>8</w:t>
      </w:r>
      <w:r w:rsidRPr="00FC0103">
        <w:rPr>
          <w:noProof/>
          <w:lang w:val="en-GB"/>
        </w:rPr>
        <w:t>, 11688. https://doi.org/10.1038/s41598-018-29974-7</w:t>
      </w:r>
    </w:p>
    <w:p w14:paraId="2580E0E9"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Chudiak, A., Uchmanowicz, I., &amp; Mazur, G. (2018). Relation between cognitive impairment and treatment adherence in elderly hypertensive patients. </w:t>
      </w:r>
      <w:r w:rsidRPr="00FC0103">
        <w:rPr>
          <w:i/>
          <w:iCs/>
          <w:noProof/>
          <w:lang w:val="en-GB"/>
        </w:rPr>
        <w:t>Clinical Interventions in Aging</w:t>
      </w:r>
      <w:r w:rsidRPr="00FC0103">
        <w:rPr>
          <w:noProof/>
          <w:lang w:val="en-GB"/>
        </w:rPr>
        <w:t xml:space="preserve">, </w:t>
      </w:r>
      <w:r w:rsidRPr="00FC0103">
        <w:rPr>
          <w:i/>
          <w:iCs/>
          <w:noProof/>
          <w:lang w:val="en-GB"/>
        </w:rPr>
        <w:t>13</w:t>
      </w:r>
      <w:r w:rsidRPr="00FC0103">
        <w:rPr>
          <w:noProof/>
          <w:lang w:val="en-GB"/>
        </w:rPr>
        <w:t>, 1409–1418. https://doi.org/10.2147/CIA.S162701</w:t>
      </w:r>
    </w:p>
    <w:p w14:paraId="5C410935"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Clark, S., Farrington, K., &amp; Chilcot, J. (2014). Nonadherence in dialysis patients: Prevalence, measurement, outcome, and psychological determinants. </w:t>
      </w:r>
      <w:r w:rsidRPr="00FC0103">
        <w:rPr>
          <w:i/>
          <w:iCs/>
          <w:noProof/>
          <w:lang w:val="en-GB"/>
        </w:rPr>
        <w:t>Seminars in Dialysis</w:t>
      </w:r>
      <w:r w:rsidRPr="00FC0103">
        <w:rPr>
          <w:noProof/>
          <w:lang w:val="en-GB"/>
        </w:rPr>
        <w:t xml:space="preserve">, </w:t>
      </w:r>
      <w:r w:rsidRPr="00FC0103">
        <w:rPr>
          <w:i/>
          <w:iCs/>
          <w:noProof/>
          <w:lang w:val="en-GB"/>
        </w:rPr>
        <w:t>27</w:t>
      </w:r>
      <w:r w:rsidRPr="00FC0103">
        <w:rPr>
          <w:noProof/>
          <w:lang w:val="en-GB"/>
        </w:rPr>
        <w:t>(1), 42–49. https://doi.org/10.1111/sdi.12159</w:t>
      </w:r>
    </w:p>
    <w:p w14:paraId="460B29CB"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Crowe, K., Quinn, T. J., Mark, P. B., &amp; Findlay, M. D. (2021). “Is It Removed During Dialysis?”—Cognitive Dysfunction in Advanced Kidney Failure—A Review Article. </w:t>
      </w:r>
      <w:r w:rsidRPr="00FC0103">
        <w:rPr>
          <w:i/>
          <w:iCs/>
          <w:noProof/>
          <w:lang w:val="en-GB"/>
        </w:rPr>
        <w:t>Frontiers in Neurology</w:t>
      </w:r>
      <w:r w:rsidRPr="00FC0103">
        <w:rPr>
          <w:noProof/>
          <w:lang w:val="en-GB"/>
        </w:rPr>
        <w:t xml:space="preserve">, </w:t>
      </w:r>
      <w:r w:rsidRPr="00FC0103">
        <w:rPr>
          <w:i/>
          <w:iCs/>
          <w:noProof/>
          <w:lang w:val="en-GB"/>
        </w:rPr>
        <w:t>12</w:t>
      </w:r>
      <w:r w:rsidRPr="00FC0103">
        <w:rPr>
          <w:noProof/>
          <w:lang w:val="en-GB"/>
        </w:rPr>
        <w:t>, 787370. https://doi.org/10.3389/fneur.2021.787370</w:t>
      </w:r>
    </w:p>
    <w:p w14:paraId="354F2E08"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Cukor, D., Cohen, S. D., &amp; Kimmel, P. L. (Eds.). (2020). </w:t>
      </w:r>
      <w:r w:rsidRPr="00FC0103">
        <w:rPr>
          <w:i/>
          <w:iCs/>
          <w:noProof/>
          <w:lang w:val="en-GB"/>
        </w:rPr>
        <w:t>Psychosocial Aspects of Chronic Kidney Disease: Exploring the Impact of CKD, Dialysis, and Transplantation on Patients</w:t>
      </w:r>
      <w:r w:rsidRPr="00FC0103">
        <w:rPr>
          <w:noProof/>
          <w:lang w:val="en-GB"/>
        </w:rPr>
        <w:t xml:space="preserve"> (1st ed.). Academic Press.</w:t>
      </w:r>
    </w:p>
    <w:p w14:paraId="39A5C837"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Curtin, R. B., Bultman, D. C., Thomas-Hawkins, C., Walters, B. A. J., &amp; Schatell, D. (2002). </w:t>
      </w:r>
      <w:r w:rsidRPr="00FC0103">
        <w:rPr>
          <w:noProof/>
          <w:lang w:val="en-GB"/>
        </w:rPr>
        <w:lastRenderedPageBreak/>
        <w:t xml:space="preserve">Hemodialysis patients’ symptom experiences: effects on physical and mental functioning. </w:t>
      </w:r>
      <w:r w:rsidRPr="00FC0103">
        <w:rPr>
          <w:i/>
          <w:iCs/>
          <w:noProof/>
          <w:lang w:val="en-GB"/>
        </w:rPr>
        <w:t>Nephrology Nursing Journal</w:t>
      </w:r>
      <w:r w:rsidRPr="00FC0103">
        <w:rPr>
          <w:noProof/>
          <w:lang w:val="en-GB"/>
        </w:rPr>
        <w:t xml:space="preserve">, </w:t>
      </w:r>
      <w:r w:rsidRPr="00FC0103">
        <w:rPr>
          <w:i/>
          <w:iCs/>
          <w:noProof/>
          <w:lang w:val="en-GB"/>
        </w:rPr>
        <w:t>29</w:t>
      </w:r>
      <w:r w:rsidRPr="00FC0103">
        <w:rPr>
          <w:noProof/>
          <w:lang w:val="en-GB"/>
        </w:rPr>
        <w:t>(6), 562–574.</w:t>
      </w:r>
    </w:p>
    <w:p w14:paraId="27FEC19F"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Dolansky, M. A., Hawkins, M. A. W., Schaefer, J. T., Sattar, A., Gunstad, J., Redle, J. D., Josephson, R., Moore, S. M., &amp; Hughes, J. W. (2016). Association between Poorer Cognitive Function and Reduced Objectively Monitored Medication Adherence in Patients with Heart Failure. </w:t>
      </w:r>
      <w:r w:rsidRPr="00FC0103">
        <w:rPr>
          <w:i/>
          <w:iCs/>
          <w:noProof/>
          <w:lang w:val="en-GB"/>
        </w:rPr>
        <w:t>Circulation: Heart Failure</w:t>
      </w:r>
      <w:r w:rsidRPr="00FC0103">
        <w:rPr>
          <w:noProof/>
          <w:lang w:val="en-GB"/>
        </w:rPr>
        <w:t xml:space="preserve">, </w:t>
      </w:r>
      <w:r w:rsidRPr="00FC0103">
        <w:rPr>
          <w:i/>
          <w:iCs/>
          <w:noProof/>
          <w:lang w:val="en-GB"/>
        </w:rPr>
        <w:t>9</w:t>
      </w:r>
      <w:r w:rsidRPr="00FC0103">
        <w:rPr>
          <w:noProof/>
          <w:lang w:val="en-GB"/>
        </w:rPr>
        <w:t>, e002475. https://doi.org/10.1161/CIRCHEARTFAILURE.116.002475</w:t>
      </w:r>
    </w:p>
    <w:p w14:paraId="7356A9DB"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Gelb, S. R., Shapiro, R. J., &amp; Thornton, W. L. (2010). Predicting Medication Adherence and Employment Status Following Kidney Transplant: The Relative Utility of Traditional and Everyday Cognitive Approaches. </w:t>
      </w:r>
      <w:r w:rsidRPr="00FC0103">
        <w:rPr>
          <w:i/>
          <w:iCs/>
          <w:noProof/>
          <w:lang w:val="en-GB"/>
        </w:rPr>
        <w:t>Neuropsychology</w:t>
      </w:r>
      <w:r w:rsidRPr="00FC0103">
        <w:rPr>
          <w:noProof/>
          <w:lang w:val="en-GB"/>
        </w:rPr>
        <w:t xml:space="preserve">, </w:t>
      </w:r>
      <w:r w:rsidRPr="00FC0103">
        <w:rPr>
          <w:i/>
          <w:iCs/>
          <w:noProof/>
          <w:lang w:val="en-GB"/>
        </w:rPr>
        <w:t>24</w:t>
      </w:r>
      <w:r w:rsidRPr="00FC0103">
        <w:rPr>
          <w:noProof/>
          <w:lang w:val="en-GB"/>
        </w:rPr>
        <w:t>(4), 514–526. https://doi.org/10.1037/a0018670</w:t>
      </w:r>
    </w:p>
    <w:p w14:paraId="5EBF2022"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Ghimire, S., Castelino, R. L., Lioufas, N. M., Peterson, G. M., &amp; Zaidi, S. T. R. (2015). Nonadherence to medication therapy in haemodialysis patients: A systematic review. </w:t>
      </w:r>
      <w:r w:rsidRPr="00FC0103">
        <w:rPr>
          <w:i/>
          <w:iCs/>
          <w:noProof/>
          <w:lang w:val="en-GB"/>
        </w:rPr>
        <w:t>PLoS ONE</w:t>
      </w:r>
      <w:r w:rsidRPr="00FC0103">
        <w:rPr>
          <w:noProof/>
          <w:lang w:val="en-GB"/>
        </w:rPr>
        <w:t xml:space="preserve">, </w:t>
      </w:r>
      <w:r w:rsidRPr="00FC0103">
        <w:rPr>
          <w:i/>
          <w:iCs/>
          <w:noProof/>
          <w:lang w:val="en-GB"/>
        </w:rPr>
        <w:t>10</w:t>
      </w:r>
      <w:r w:rsidRPr="00FC0103">
        <w:rPr>
          <w:noProof/>
          <w:lang w:val="en-GB"/>
        </w:rPr>
        <w:t>(12), e0144119. https://doi.org/10.1371/journal.pone.0144119</w:t>
      </w:r>
    </w:p>
    <w:p w14:paraId="65408FA4"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Goh, Z. S., &amp; Griva, K. (2018). Anxiety and depression in patients with end-stage renal disease: impact and management challenges – a narrative review. </w:t>
      </w:r>
      <w:r w:rsidRPr="00FC0103">
        <w:rPr>
          <w:i/>
          <w:iCs/>
          <w:noProof/>
          <w:lang w:val="en-GB"/>
        </w:rPr>
        <w:t>International Journal of Nephrology and Renovascular Diseajse</w:t>
      </w:r>
      <w:r w:rsidRPr="00FC0103">
        <w:rPr>
          <w:noProof/>
          <w:lang w:val="en-GB"/>
        </w:rPr>
        <w:t xml:space="preserve">, </w:t>
      </w:r>
      <w:r w:rsidRPr="00FC0103">
        <w:rPr>
          <w:i/>
          <w:iCs/>
          <w:noProof/>
          <w:lang w:val="en-GB"/>
        </w:rPr>
        <w:t>11</w:t>
      </w:r>
      <w:r w:rsidRPr="00FC0103">
        <w:rPr>
          <w:noProof/>
          <w:lang w:val="en-GB"/>
        </w:rPr>
        <w:t>, 93–102. https://doi.org/10.2147/IJNRD.S126615</w:t>
      </w:r>
    </w:p>
    <w:p w14:paraId="78D377DE"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Griva, K., Davenport, A., Harrison, M., &amp; Newman, S. P. (2012). Non-adherence to Immunosuppressive Medications in Kidney Transplantation: Intent Vs. Forgetfulness and Clinical Markers of Medication Intake. </w:t>
      </w:r>
      <w:r w:rsidRPr="00FC0103">
        <w:rPr>
          <w:i/>
          <w:iCs/>
          <w:noProof/>
          <w:lang w:val="en-GB"/>
        </w:rPr>
        <w:t>Annals of Behavioral Medicine</w:t>
      </w:r>
      <w:r w:rsidRPr="00FC0103">
        <w:rPr>
          <w:noProof/>
          <w:lang w:val="en-GB"/>
        </w:rPr>
        <w:t xml:space="preserve">, </w:t>
      </w:r>
      <w:r w:rsidRPr="00FC0103">
        <w:rPr>
          <w:i/>
          <w:iCs/>
          <w:noProof/>
          <w:lang w:val="en-GB"/>
        </w:rPr>
        <w:t>44</w:t>
      </w:r>
      <w:r w:rsidRPr="00FC0103">
        <w:rPr>
          <w:noProof/>
          <w:lang w:val="en-GB"/>
        </w:rPr>
        <w:t>, 85–93. https://doi.org/10.1007/s12160-012-9359-4</w:t>
      </w:r>
    </w:p>
    <w:p w14:paraId="63AA7210"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Griva, K., Lam, K. F. Y., Nandakumar, M., Ng, J. an H., McBain, H., &amp; Newman, S. P. (2018). The effect of brief self-management intervention for hemodialysis patients (HED-SMART) on trajectories of depressive and anxious symptoms. </w:t>
      </w:r>
      <w:r w:rsidRPr="00FC0103">
        <w:rPr>
          <w:i/>
          <w:iCs/>
          <w:noProof/>
          <w:lang w:val="en-GB"/>
        </w:rPr>
        <w:t xml:space="preserve">Journal of </w:t>
      </w:r>
      <w:r w:rsidRPr="00FC0103">
        <w:rPr>
          <w:i/>
          <w:iCs/>
          <w:noProof/>
          <w:lang w:val="en-GB"/>
        </w:rPr>
        <w:lastRenderedPageBreak/>
        <w:t>Psychosomatic Research</w:t>
      </w:r>
      <w:r w:rsidRPr="00FC0103">
        <w:rPr>
          <w:noProof/>
          <w:lang w:val="en-GB"/>
        </w:rPr>
        <w:t xml:space="preserve">, </w:t>
      </w:r>
      <w:r w:rsidRPr="00FC0103">
        <w:rPr>
          <w:i/>
          <w:iCs/>
          <w:noProof/>
          <w:lang w:val="en-GB"/>
        </w:rPr>
        <w:t>113</w:t>
      </w:r>
      <w:r w:rsidRPr="00FC0103">
        <w:rPr>
          <w:noProof/>
          <w:lang w:val="en-GB"/>
        </w:rPr>
        <w:t>, 37–44. https://doi.org/10.1016/j.jpsychores.2018.07.012</w:t>
      </w:r>
    </w:p>
    <w:p w14:paraId="1CE6B7BE"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Griva, K., Mooppil, N., Seet, P., Krishnan, D. S. P., James, H., &amp; Newman, S. P. (2011). The NKF-NUS hemodialysis trial protocol - A randomized controlled trial to determine the effectiveness of a self management intervention for hemodialysis patients. </w:t>
      </w:r>
      <w:r w:rsidRPr="00FC0103">
        <w:rPr>
          <w:i/>
          <w:iCs/>
          <w:noProof/>
          <w:lang w:val="en-GB"/>
        </w:rPr>
        <w:t>BMC Nephrology</w:t>
      </w:r>
      <w:r w:rsidRPr="00FC0103">
        <w:rPr>
          <w:noProof/>
          <w:lang w:val="en-GB"/>
        </w:rPr>
        <w:t xml:space="preserve">, </w:t>
      </w:r>
      <w:r w:rsidRPr="00FC0103">
        <w:rPr>
          <w:i/>
          <w:iCs/>
          <w:noProof/>
          <w:lang w:val="en-GB"/>
        </w:rPr>
        <w:t>12</w:t>
      </w:r>
      <w:r w:rsidRPr="00FC0103">
        <w:rPr>
          <w:noProof/>
          <w:lang w:val="en-GB"/>
        </w:rPr>
        <w:t>, 4. https://doi.org/10.1186/1471-2369-12-4</w:t>
      </w:r>
    </w:p>
    <w:p w14:paraId="5A23A506"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Griva, K., Nandakumar, M., Ng, J. H., Lam, K. F. Y., McBain, H., &amp; Newman, S. P. (2018). Hemodialysis Self-management Intervention Randomized Trial (HED-SMART): A Practical Low-Intensity Intervention to Improve Adherence and Clinical Markers in Patients Receiving Hemodialysis. </w:t>
      </w:r>
      <w:r w:rsidRPr="00FC0103">
        <w:rPr>
          <w:i/>
          <w:iCs/>
          <w:noProof/>
          <w:lang w:val="en-GB"/>
        </w:rPr>
        <w:t>American Journal of Kidney Diseases</w:t>
      </w:r>
      <w:r w:rsidRPr="00FC0103">
        <w:rPr>
          <w:noProof/>
          <w:lang w:val="en-GB"/>
        </w:rPr>
        <w:t xml:space="preserve">, </w:t>
      </w:r>
      <w:r w:rsidRPr="00FC0103">
        <w:rPr>
          <w:i/>
          <w:iCs/>
          <w:noProof/>
          <w:lang w:val="en-GB"/>
        </w:rPr>
        <w:t>71</w:t>
      </w:r>
      <w:r w:rsidRPr="00FC0103">
        <w:rPr>
          <w:noProof/>
          <w:lang w:val="en-GB"/>
        </w:rPr>
        <w:t>(3), 371–381. https://doi.org/10.1053/j.ajkd.2017.09.014</w:t>
      </w:r>
    </w:p>
    <w:p w14:paraId="247ECF71"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Griva, K., Ng, H. J., Loei, J., Mooppil, N., McBain, H., &amp; Newman, S. P. (2013). Managing treatment for end-stage renal disease - A qualitative study exploring cultural perspectives on facilitators and barriers to treatment adherence. </w:t>
      </w:r>
      <w:r w:rsidRPr="00FC0103">
        <w:rPr>
          <w:i/>
          <w:iCs/>
          <w:noProof/>
          <w:lang w:val="en-GB"/>
        </w:rPr>
        <w:t>Psychology and Health</w:t>
      </w:r>
      <w:r w:rsidRPr="00FC0103">
        <w:rPr>
          <w:noProof/>
          <w:lang w:val="en-GB"/>
        </w:rPr>
        <w:t xml:space="preserve">, </w:t>
      </w:r>
      <w:r w:rsidRPr="00FC0103">
        <w:rPr>
          <w:i/>
          <w:iCs/>
          <w:noProof/>
          <w:lang w:val="en-GB"/>
        </w:rPr>
        <w:t>28</w:t>
      </w:r>
      <w:r w:rsidRPr="00FC0103">
        <w:rPr>
          <w:noProof/>
          <w:lang w:val="en-GB"/>
        </w:rPr>
        <w:t>(1), 13–29. https://doi.org/10.1080/08870446.2012.703670</w:t>
      </w:r>
    </w:p>
    <w:p w14:paraId="2FE8E9FC"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Griva, K., Stygall, J., Hankins, M., Davenport, A., Harrison, M., &amp; Newman, S. P. (2010). Cognitive Impairment and 7-Year Mortality in Dialysis Patients. </w:t>
      </w:r>
      <w:r w:rsidRPr="00FC0103">
        <w:rPr>
          <w:i/>
          <w:iCs/>
          <w:noProof/>
          <w:lang w:val="en-GB"/>
        </w:rPr>
        <w:t>American Journal of Kidney Diseases</w:t>
      </w:r>
      <w:r w:rsidRPr="00FC0103">
        <w:rPr>
          <w:noProof/>
          <w:lang w:val="en-GB"/>
        </w:rPr>
        <w:t xml:space="preserve">, </w:t>
      </w:r>
      <w:r w:rsidRPr="00FC0103">
        <w:rPr>
          <w:i/>
          <w:iCs/>
          <w:noProof/>
          <w:lang w:val="en-GB"/>
        </w:rPr>
        <w:t>56</w:t>
      </w:r>
      <w:r w:rsidRPr="00FC0103">
        <w:rPr>
          <w:noProof/>
          <w:lang w:val="en-GB"/>
        </w:rPr>
        <w:t>(4), 693–703. https://doi.org/10.1053/j.ajkd.2010.07.003</w:t>
      </w:r>
    </w:p>
    <w:p w14:paraId="15652A69"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Hain, D. J. (2008). Cognitive function and adherence of older adults undergoing hemodialysis. </w:t>
      </w:r>
      <w:r w:rsidRPr="00FC0103">
        <w:rPr>
          <w:i/>
          <w:iCs/>
          <w:noProof/>
          <w:lang w:val="en-GB"/>
        </w:rPr>
        <w:t>Nephrology Nursing Journal</w:t>
      </w:r>
      <w:r w:rsidRPr="00FC0103">
        <w:rPr>
          <w:noProof/>
          <w:lang w:val="en-GB"/>
        </w:rPr>
        <w:t xml:space="preserve">, </w:t>
      </w:r>
      <w:r w:rsidRPr="00FC0103">
        <w:rPr>
          <w:i/>
          <w:iCs/>
          <w:noProof/>
          <w:lang w:val="en-GB"/>
        </w:rPr>
        <w:t>35</w:t>
      </w:r>
      <w:r w:rsidRPr="00FC0103">
        <w:rPr>
          <w:noProof/>
          <w:lang w:val="en-GB"/>
        </w:rPr>
        <w:t>(1), 23–29.</w:t>
      </w:r>
    </w:p>
    <w:p w14:paraId="6518CB05"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Hays, R. D., Kallich, J. D., Mapes, D. L., Coons, S. J., &amp; Carter, W. B. (1994). Development of the Kidney Disease Quality of Life (KDQOL) Instrument. </w:t>
      </w:r>
      <w:r w:rsidRPr="00FC0103">
        <w:rPr>
          <w:i/>
          <w:iCs/>
          <w:noProof/>
          <w:lang w:val="en-GB"/>
        </w:rPr>
        <w:t>Quality of Life Research</w:t>
      </w:r>
      <w:r w:rsidRPr="00FC0103">
        <w:rPr>
          <w:noProof/>
          <w:lang w:val="en-GB"/>
        </w:rPr>
        <w:t xml:space="preserve">, </w:t>
      </w:r>
      <w:r w:rsidRPr="00FC0103">
        <w:rPr>
          <w:i/>
          <w:iCs/>
          <w:noProof/>
          <w:lang w:val="en-GB"/>
        </w:rPr>
        <w:t>3</w:t>
      </w:r>
      <w:r w:rsidRPr="00FC0103">
        <w:rPr>
          <w:noProof/>
          <w:lang w:val="en-GB"/>
        </w:rPr>
        <w:t>, 329–338. https://doi.org/10.1007/BF00451725</w:t>
      </w:r>
    </w:p>
    <w:p w14:paraId="03316699"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Hedayati, S. S., &amp; Finkelstein, F. O. (2009). Epidemiology, Diagnosis, and Management of Depression in Patients With CKD. </w:t>
      </w:r>
      <w:r w:rsidRPr="00FC0103">
        <w:rPr>
          <w:i/>
          <w:iCs/>
          <w:noProof/>
          <w:lang w:val="en-GB"/>
        </w:rPr>
        <w:t>American Journal of Kidney Diseases</w:t>
      </w:r>
      <w:r w:rsidRPr="00FC0103">
        <w:rPr>
          <w:noProof/>
          <w:lang w:val="en-GB"/>
        </w:rPr>
        <w:t xml:space="preserve">, </w:t>
      </w:r>
      <w:r w:rsidRPr="00FC0103">
        <w:rPr>
          <w:i/>
          <w:iCs/>
          <w:noProof/>
          <w:lang w:val="en-GB"/>
        </w:rPr>
        <w:t>54</w:t>
      </w:r>
      <w:r w:rsidRPr="00FC0103">
        <w:rPr>
          <w:noProof/>
          <w:lang w:val="en-GB"/>
        </w:rPr>
        <w:t>(4), 741–752. https://doi.org/10.1053/j.ajkd.2009.05.003</w:t>
      </w:r>
    </w:p>
    <w:p w14:paraId="19399EA7"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lastRenderedPageBreak/>
        <w:t xml:space="preserve">Hemmelgarn, B. R., Manns, B. J., Quan, H., &amp; Ghali, W. A. (2003). Adapting the Charlson comorbidity index for use in patients with ESRD. </w:t>
      </w:r>
      <w:r w:rsidRPr="00FC0103">
        <w:rPr>
          <w:i/>
          <w:iCs/>
          <w:noProof/>
          <w:lang w:val="en-GB"/>
        </w:rPr>
        <w:t>American Journal of Kidney Diseases</w:t>
      </w:r>
      <w:r w:rsidRPr="00FC0103">
        <w:rPr>
          <w:noProof/>
          <w:lang w:val="en-GB"/>
        </w:rPr>
        <w:t xml:space="preserve">, </w:t>
      </w:r>
      <w:r w:rsidRPr="00FC0103">
        <w:rPr>
          <w:i/>
          <w:iCs/>
          <w:noProof/>
          <w:lang w:val="en-GB"/>
        </w:rPr>
        <w:t>42</w:t>
      </w:r>
      <w:r w:rsidRPr="00FC0103">
        <w:rPr>
          <w:noProof/>
          <w:lang w:val="en-GB"/>
        </w:rPr>
        <w:t>(1), 125–132. https://doi.org/10.1016/S0272-6386(03)00415-3</w:t>
      </w:r>
    </w:p>
    <w:p w14:paraId="52882072"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Himmelfarb, J., Vanholder, R., Mehrotra, R., &amp; Tonelli, M. (2020). The current and future landscape of dialysis. </w:t>
      </w:r>
      <w:r w:rsidRPr="00FC0103">
        <w:rPr>
          <w:i/>
          <w:iCs/>
          <w:noProof/>
          <w:lang w:val="en-GB"/>
        </w:rPr>
        <w:t>Nature Reviews Nephrology</w:t>
      </w:r>
      <w:r w:rsidRPr="00FC0103">
        <w:rPr>
          <w:noProof/>
          <w:lang w:val="en-GB"/>
        </w:rPr>
        <w:t xml:space="preserve">, </w:t>
      </w:r>
      <w:r w:rsidRPr="00FC0103">
        <w:rPr>
          <w:i/>
          <w:iCs/>
          <w:noProof/>
          <w:lang w:val="en-GB"/>
        </w:rPr>
        <w:t>16</w:t>
      </w:r>
      <w:r w:rsidRPr="00FC0103">
        <w:rPr>
          <w:noProof/>
          <w:lang w:val="en-GB"/>
        </w:rPr>
        <w:t>, 573–585. https://doi.org/10.1038/s41581-020-0315-4</w:t>
      </w:r>
    </w:p>
    <w:p w14:paraId="4B519399"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Horne, R., &amp; Weinman, J. (2002). Self-regulation and self-management in asthma: Exploring the role of illness perceptions and treatment beliefs in explaining non-adherence to preventer medication. </w:t>
      </w:r>
      <w:r w:rsidRPr="00FC0103">
        <w:rPr>
          <w:i/>
          <w:iCs/>
          <w:noProof/>
          <w:lang w:val="en-GB"/>
        </w:rPr>
        <w:t>Psychology and Health</w:t>
      </w:r>
      <w:r w:rsidRPr="00FC0103">
        <w:rPr>
          <w:noProof/>
          <w:lang w:val="en-GB"/>
        </w:rPr>
        <w:t xml:space="preserve">, </w:t>
      </w:r>
      <w:r w:rsidRPr="00FC0103">
        <w:rPr>
          <w:i/>
          <w:iCs/>
          <w:noProof/>
          <w:lang w:val="en-GB"/>
        </w:rPr>
        <w:t>17</w:t>
      </w:r>
      <w:r w:rsidRPr="00FC0103">
        <w:rPr>
          <w:noProof/>
          <w:lang w:val="en-GB"/>
        </w:rPr>
        <w:t>(1), 17–32. https://doi.org/10.1080/08870440290001502</w:t>
      </w:r>
    </w:p>
    <w:p w14:paraId="13983ACA"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Insel, K., Morrow, D., Brewer, B., &amp; Figueredo, A. (2006). Executive function, working memory, and medication adherence among older adults. </w:t>
      </w:r>
      <w:r w:rsidRPr="00FC0103">
        <w:rPr>
          <w:i/>
          <w:iCs/>
          <w:noProof/>
          <w:lang w:val="en-GB"/>
        </w:rPr>
        <w:t>Journals of Gerontology - Series B Psychological Sciences and Social Sciences</w:t>
      </w:r>
      <w:r w:rsidRPr="00FC0103">
        <w:rPr>
          <w:noProof/>
          <w:lang w:val="en-GB"/>
        </w:rPr>
        <w:t xml:space="preserve">, </w:t>
      </w:r>
      <w:r w:rsidRPr="00FC0103">
        <w:rPr>
          <w:i/>
          <w:iCs/>
          <w:noProof/>
          <w:lang w:val="en-GB"/>
        </w:rPr>
        <w:t>61B</w:t>
      </w:r>
      <w:r w:rsidRPr="00FC0103">
        <w:rPr>
          <w:noProof/>
          <w:lang w:val="en-GB"/>
        </w:rPr>
        <w:t>(2), 102–107. https://doi.org/10.1093/geronb/61.2.P102</w:t>
      </w:r>
    </w:p>
    <w:p w14:paraId="52140191"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Iyasere, O., Okai, D., &amp; Brown, E. (2017). Cognitive function and advanced kidney disease: longitudinal trends and impact on decision-making. </w:t>
      </w:r>
      <w:r w:rsidRPr="00FC0103">
        <w:rPr>
          <w:i/>
          <w:iCs/>
          <w:noProof/>
          <w:lang w:val="en-GB"/>
        </w:rPr>
        <w:t>Clinical Kidney Journal</w:t>
      </w:r>
      <w:r w:rsidRPr="00FC0103">
        <w:rPr>
          <w:noProof/>
          <w:lang w:val="en-GB"/>
        </w:rPr>
        <w:t xml:space="preserve">, </w:t>
      </w:r>
      <w:r w:rsidRPr="00FC0103">
        <w:rPr>
          <w:i/>
          <w:iCs/>
          <w:noProof/>
          <w:lang w:val="en-GB"/>
        </w:rPr>
        <w:t>10</w:t>
      </w:r>
      <w:r w:rsidRPr="00FC0103">
        <w:rPr>
          <w:noProof/>
          <w:lang w:val="en-GB"/>
        </w:rPr>
        <w:t>(1), 89–94. https://doi.org/10.1093/ckj/sfw128</w:t>
      </w:r>
    </w:p>
    <w:p w14:paraId="648CFBA1"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Jessen, F., Amariglio, R. E., Buckley, R. F., van der Flier, W. M., Han, Y., Molinuevo, J. L., Rabin, L., Rentz, D. M., Rodriguez-Gomez, O., Saykin, A. J., Sikkes, S. A. M., Smart, C. M., Wolfsgruber, S., &amp; Wagner, M. (2020). The characterisation of subjective cognitive decline. </w:t>
      </w:r>
      <w:r w:rsidRPr="00FC0103">
        <w:rPr>
          <w:i/>
          <w:iCs/>
          <w:noProof/>
          <w:lang w:val="en-GB"/>
        </w:rPr>
        <w:t>The Lancet Neurology</w:t>
      </w:r>
      <w:r w:rsidRPr="00FC0103">
        <w:rPr>
          <w:noProof/>
          <w:lang w:val="en-GB"/>
        </w:rPr>
        <w:t xml:space="preserve">, </w:t>
      </w:r>
      <w:r w:rsidRPr="00FC0103">
        <w:rPr>
          <w:i/>
          <w:iCs/>
          <w:noProof/>
          <w:lang w:val="en-GB"/>
        </w:rPr>
        <w:t>19</w:t>
      </w:r>
      <w:r w:rsidRPr="00FC0103">
        <w:rPr>
          <w:noProof/>
          <w:lang w:val="en-GB"/>
        </w:rPr>
        <w:t>(3), 271–278. https://doi.org/10.1016/S1474-4422(19)30368-0</w:t>
      </w:r>
    </w:p>
    <w:p w14:paraId="0F9E352B"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Jessen, F., Amariglio, R. E., Van Boxtel, M., Breteler, M., Ceccaldi, M., Chételat, G., Dubois, B., Dufouil, C., Ellis, K. A., Van Der Flier, W. M., Glodzik, L., Van Harten, A. C., De Leon, M. J., McHugh, P., Mielke, M. M., Molinuevo, J. L., Mosconi, L., Osorio, </w:t>
      </w:r>
      <w:r w:rsidRPr="00FC0103">
        <w:rPr>
          <w:noProof/>
          <w:lang w:val="en-GB"/>
        </w:rPr>
        <w:lastRenderedPageBreak/>
        <w:t xml:space="preserve">R. S., Perrotin, A., … Wagner, M. (2014). A conceptual framework for research on subjective cognitive decline in preclinical Alzheimer’s disease. </w:t>
      </w:r>
      <w:r w:rsidRPr="00FC0103">
        <w:rPr>
          <w:i/>
          <w:iCs/>
          <w:noProof/>
          <w:lang w:val="en-GB"/>
        </w:rPr>
        <w:t>Alzheimer’s and Dementia</w:t>
      </w:r>
      <w:r w:rsidRPr="00FC0103">
        <w:rPr>
          <w:noProof/>
          <w:lang w:val="en-GB"/>
        </w:rPr>
        <w:t xml:space="preserve">, </w:t>
      </w:r>
      <w:r w:rsidRPr="00FC0103">
        <w:rPr>
          <w:i/>
          <w:iCs/>
          <w:noProof/>
          <w:lang w:val="en-GB"/>
        </w:rPr>
        <w:t>10</w:t>
      </w:r>
      <w:r w:rsidRPr="00FC0103">
        <w:rPr>
          <w:noProof/>
          <w:lang w:val="en-GB"/>
        </w:rPr>
        <w:t>(6), 844–852. https://doi.org/10.1016/j.jalz.2014.01.001</w:t>
      </w:r>
    </w:p>
    <w:p w14:paraId="436A78C1"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Joshee, P., Wood, A. G., Wood, E. R., &amp; Grunfeld, E. A. (2018). Meta-analysis of cognitive functioning in patients following kidney transplantation. </w:t>
      </w:r>
      <w:r w:rsidRPr="00FC0103">
        <w:rPr>
          <w:i/>
          <w:iCs/>
          <w:noProof/>
          <w:lang w:val="en-GB"/>
        </w:rPr>
        <w:t>Nephrology Dialysis Transplantation</w:t>
      </w:r>
      <w:r w:rsidRPr="00FC0103">
        <w:rPr>
          <w:noProof/>
          <w:lang w:val="en-GB"/>
        </w:rPr>
        <w:t xml:space="preserve">, </w:t>
      </w:r>
      <w:r w:rsidRPr="00FC0103">
        <w:rPr>
          <w:i/>
          <w:iCs/>
          <w:noProof/>
          <w:lang w:val="en-GB"/>
        </w:rPr>
        <w:t>33</w:t>
      </w:r>
      <w:r w:rsidRPr="00FC0103">
        <w:rPr>
          <w:noProof/>
          <w:lang w:val="en-GB"/>
        </w:rPr>
        <w:t>, 1268–1277. https://doi.org/10.1093/ndt/gfx240</w:t>
      </w:r>
    </w:p>
    <w:p w14:paraId="66A75E8D"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Kallenberg, M. H., Kleinveld, H. A., Dekker, F. W., van Munster, B. C., Rabelink, T. J., van Buren, M., &amp; Mooijaart, S. P. (2016). Functional and cognitive impairment, frailty, and adverse health outcomes in older patients reaching ESRD-a systematic review. </w:t>
      </w:r>
      <w:r w:rsidRPr="00FC0103">
        <w:rPr>
          <w:i/>
          <w:iCs/>
          <w:noProof/>
          <w:lang w:val="en-GB"/>
        </w:rPr>
        <w:t>Clinical Journal of the American Society of Nephrology</w:t>
      </w:r>
      <w:r w:rsidRPr="00FC0103">
        <w:rPr>
          <w:noProof/>
          <w:lang w:val="en-GB"/>
        </w:rPr>
        <w:t xml:space="preserve">, </w:t>
      </w:r>
      <w:r w:rsidRPr="00FC0103">
        <w:rPr>
          <w:i/>
          <w:iCs/>
          <w:noProof/>
          <w:lang w:val="en-GB"/>
        </w:rPr>
        <w:t>11</w:t>
      </w:r>
      <w:r w:rsidRPr="00FC0103">
        <w:rPr>
          <w:noProof/>
          <w:lang w:val="en-GB"/>
        </w:rPr>
        <w:t>, 1624–1639. https://doi.org/10.2215/CJN.13611215</w:t>
      </w:r>
    </w:p>
    <w:p w14:paraId="3DE32A47"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Kurella, M., Luan, J., Yaffe, K., &amp; Chertow, G. M. (2004). Validation of the Kidney Disease Quality of Life (KDQOL) Cognitive Function subscale. </w:t>
      </w:r>
      <w:r w:rsidRPr="00FC0103">
        <w:rPr>
          <w:i/>
          <w:iCs/>
          <w:noProof/>
          <w:lang w:val="en-GB"/>
        </w:rPr>
        <w:t>Kidney International</w:t>
      </w:r>
      <w:r w:rsidRPr="00FC0103">
        <w:rPr>
          <w:noProof/>
          <w:lang w:val="en-GB"/>
        </w:rPr>
        <w:t xml:space="preserve">, </w:t>
      </w:r>
      <w:r w:rsidRPr="00FC0103">
        <w:rPr>
          <w:i/>
          <w:iCs/>
          <w:noProof/>
          <w:lang w:val="en-GB"/>
        </w:rPr>
        <w:t>66</w:t>
      </w:r>
      <w:r w:rsidRPr="00FC0103">
        <w:rPr>
          <w:noProof/>
          <w:lang w:val="en-GB"/>
        </w:rPr>
        <w:t>, 2361–2367. https://doi.org/10.1111/j.1523-1755.2004.66024.x</w:t>
      </w:r>
    </w:p>
    <w:p w14:paraId="4ED9C494"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Kurella Tamura, M., Vittinghoff, E., Hsu, C., Tam, K., Seliger, S. L., Sozio, S., Fischer, M., Chen, J., Lustigova, E., Strauss, L., Deo, R., Go, A. S., &amp; Yaffe, K. (2017). Loss of executive function after dialysis initiation in adults with chronic kidney disease. </w:t>
      </w:r>
      <w:r w:rsidRPr="00FC0103">
        <w:rPr>
          <w:i/>
          <w:iCs/>
          <w:noProof/>
          <w:lang w:val="en-GB"/>
        </w:rPr>
        <w:t>Kidney International</w:t>
      </w:r>
      <w:r w:rsidRPr="00FC0103">
        <w:rPr>
          <w:noProof/>
          <w:lang w:val="en-GB"/>
        </w:rPr>
        <w:t xml:space="preserve">, </w:t>
      </w:r>
      <w:r w:rsidRPr="00FC0103">
        <w:rPr>
          <w:i/>
          <w:iCs/>
          <w:noProof/>
          <w:lang w:val="en-GB"/>
        </w:rPr>
        <w:t>91</w:t>
      </w:r>
      <w:r w:rsidRPr="00FC0103">
        <w:rPr>
          <w:noProof/>
          <w:lang w:val="en-GB"/>
        </w:rPr>
        <w:t>, 948–953. https://doi.org/10.1016/j.kint.2016.11.015</w:t>
      </w:r>
    </w:p>
    <w:p w14:paraId="135732FE"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Law, L. L. F., Barnett, F., Yau, M. K., &amp; Gray, M. A. (2012). Measures of everyday competence in older adults with cognitive impairment: a systematic review. </w:t>
      </w:r>
      <w:r w:rsidRPr="00FC0103">
        <w:rPr>
          <w:i/>
          <w:iCs/>
          <w:noProof/>
          <w:lang w:val="en-GB"/>
        </w:rPr>
        <w:t>Age and Ageing</w:t>
      </w:r>
      <w:r w:rsidRPr="00FC0103">
        <w:rPr>
          <w:noProof/>
          <w:lang w:val="en-GB"/>
        </w:rPr>
        <w:t xml:space="preserve">, </w:t>
      </w:r>
      <w:r w:rsidRPr="00FC0103">
        <w:rPr>
          <w:i/>
          <w:iCs/>
          <w:noProof/>
          <w:lang w:val="en-GB"/>
        </w:rPr>
        <w:t>41</w:t>
      </w:r>
      <w:r w:rsidRPr="00FC0103">
        <w:rPr>
          <w:noProof/>
          <w:lang w:val="en-GB"/>
        </w:rPr>
        <w:t>, 9–16. https://doi.org/10.1093/ageing/afr104</w:t>
      </w:r>
    </w:p>
    <w:p w14:paraId="134BE9DB"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Lee, Y. C., Kang, J. M., Lee, H., Kim, K., Kim, S., Yu, T. Y., Lee, E. M., Kim, C. T., Kim, D. K., Lewis, M., Won, H. H., Jessen, F., &amp; Myung, W. (2020). Subjective cognitive decline and subsequent dementia: a nationwide cohort study of 579,710 people aged 66 years in South Korea. </w:t>
      </w:r>
      <w:r w:rsidRPr="00FC0103">
        <w:rPr>
          <w:i/>
          <w:iCs/>
          <w:noProof/>
          <w:lang w:val="en-GB"/>
        </w:rPr>
        <w:t>Alzheimer’s Research and Therapy</w:t>
      </w:r>
      <w:r w:rsidRPr="00FC0103">
        <w:rPr>
          <w:noProof/>
          <w:lang w:val="en-GB"/>
        </w:rPr>
        <w:t xml:space="preserve">, </w:t>
      </w:r>
      <w:r w:rsidRPr="00FC0103">
        <w:rPr>
          <w:i/>
          <w:iCs/>
          <w:noProof/>
          <w:lang w:val="en-GB"/>
        </w:rPr>
        <w:t>12</w:t>
      </w:r>
      <w:r w:rsidRPr="00FC0103">
        <w:rPr>
          <w:noProof/>
          <w:lang w:val="en-GB"/>
        </w:rPr>
        <w:t xml:space="preserve">, 52. </w:t>
      </w:r>
      <w:r w:rsidRPr="00FC0103">
        <w:rPr>
          <w:noProof/>
          <w:lang w:val="en-GB"/>
        </w:rPr>
        <w:lastRenderedPageBreak/>
        <w:t>https://doi.org/10.1186/s13195-020-00618-1</w:t>
      </w:r>
    </w:p>
    <w:p w14:paraId="62573725"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Leung, C., Ho, S., Kan, C., Hung, C., &amp; Chen, C. (1993). Evaluation of the Chinese Version of the Hospital Anxiety and Depression Scale. A cross-cultural perspective. </w:t>
      </w:r>
      <w:r w:rsidRPr="00FC0103">
        <w:rPr>
          <w:i/>
          <w:iCs/>
          <w:noProof/>
          <w:lang w:val="en-GB"/>
        </w:rPr>
        <w:t>International Journal of Psychosomatics</w:t>
      </w:r>
      <w:r w:rsidRPr="00FC0103">
        <w:rPr>
          <w:noProof/>
          <w:lang w:val="en-GB"/>
        </w:rPr>
        <w:t xml:space="preserve">, </w:t>
      </w:r>
      <w:r w:rsidRPr="00FC0103">
        <w:rPr>
          <w:i/>
          <w:iCs/>
          <w:noProof/>
          <w:lang w:val="en-GB"/>
        </w:rPr>
        <w:t>40</w:t>
      </w:r>
      <w:r w:rsidRPr="00FC0103">
        <w:rPr>
          <w:noProof/>
          <w:lang w:val="en-GB"/>
        </w:rPr>
        <w:t>(1–4), 29–34.</w:t>
      </w:r>
    </w:p>
    <w:p w14:paraId="46EB764F"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Levey, A. S., &amp; Coresh, J. (2012). Chronic kidney disease. </w:t>
      </w:r>
      <w:r w:rsidRPr="00FC0103">
        <w:rPr>
          <w:i/>
          <w:iCs/>
          <w:noProof/>
          <w:lang w:val="en-GB"/>
        </w:rPr>
        <w:t>The Lancet</w:t>
      </w:r>
      <w:r w:rsidRPr="00FC0103">
        <w:rPr>
          <w:noProof/>
          <w:lang w:val="en-GB"/>
        </w:rPr>
        <w:t xml:space="preserve">, </w:t>
      </w:r>
      <w:r w:rsidRPr="00FC0103">
        <w:rPr>
          <w:i/>
          <w:iCs/>
          <w:noProof/>
          <w:lang w:val="en-GB"/>
        </w:rPr>
        <w:t>379</w:t>
      </w:r>
      <w:r w:rsidRPr="00FC0103">
        <w:rPr>
          <w:noProof/>
          <w:lang w:val="en-GB"/>
        </w:rPr>
        <w:t>, 165–180. https://doi.org/10.1016/S0140-6736(11)60178-5</w:t>
      </w:r>
    </w:p>
    <w:p w14:paraId="522695CE"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Liew, T. M. (2020a). Subjective cognitive decline, anxiety symptoms, and the risk of mild cognitive impairment and dementia. </w:t>
      </w:r>
      <w:r w:rsidRPr="00FC0103">
        <w:rPr>
          <w:i/>
          <w:iCs/>
          <w:noProof/>
          <w:lang w:val="en-GB"/>
        </w:rPr>
        <w:t>Alzheimer’s Research and Therapy</w:t>
      </w:r>
      <w:r w:rsidRPr="00FC0103">
        <w:rPr>
          <w:noProof/>
          <w:lang w:val="en-GB"/>
        </w:rPr>
        <w:t xml:space="preserve">, </w:t>
      </w:r>
      <w:r w:rsidRPr="00FC0103">
        <w:rPr>
          <w:i/>
          <w:iCs/>
          <w:noProof/>
          <w:lang w:val="en-GB"/>
        </w:rPr>
        <w:t>12</w:t>
      </w:r>
      <w:r w:rsidRPr="00FC0103">
        <w:rPr>
          <w:noProof/>
          <w:lang w:val="en-GB"/>
        </w:rPr>
        <w:t>, 107. https://doi.org/10.1186/s13195-020-00699-y</w:t>
      </w:r>
    </w:p>
    <w:p w14:paraId="2D4DE943"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Liew, T. M. (2020b). Trajectories of subjective cognitive decline, and the risk of mild cognitive impairment and dementia. </w:t>
      </w:r>
      <w:r w:rsidRPr="00FC0103">
        <w:rPr>
          <w:i/>
          <w:iCs/>
          <w:noProof/>
          <w:lang w:val="en-GB"/>
        </w:rPr>
        <w:t>Alzheimer’s Research and Therapy</w:t>
      </w:r>
      <w:r w:rsidRPr="00FC0103">
        <w:rPr>
          <w:noProof/>
          <w:lang w:val="en-GB"/>
        </w:rPr>
        <w:t xml:space="preserve">, </w:t>
      </w:r>
      <w:r w:rsidRPr="00FC0103">
        <w:rPr>
          <w:i/>
          <w:iCs/>
          <w:noProof/>
          <w:lang w:val="en-GB"/>
        </w:rPr>
        <w:t>12</w:t>
      </w:r>
      <w:r w:rsidRPr="00FC0103">
        <w:rPr>
          <w:noProof/>
          <w:lang w:val="en-GB"/>
        </w:rPr>
        <w:t>, 135. https://doi.org/10.1186/s13195-020-00699-y</w:t>
      </w:r>
    </w:p>
    <w:p w14:paraId="20FA789F"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Molinuevo, J. L., Rabin, L. A., Amariglio, R., Buckley, R., Dubois, B., Ellis, K. A., Ewers, M., Hampel, H., Klöppel, S., Rami, L., Reisberg, B., Saykin, A. J., Sikkes, S., Smart, C. M., Snitz, B. E., Sperling, R., van der Flier, W. M., Wagner, M., &amp; Jessen, F. (2017). Implementation of subjective cognitive decline criteria in research studies. </w:t>
      </w:r>
      <w:r w:rsidRPr="00FC0103">
        <w:rPr>
          <w:i/>
          <w:iCs/>
          <w:noProof/>
          <w:lang w:val="en-GB"/>
        </w:rPr>
        <w:t>Alzheimer’s and Dementia</w:t>
      </w:r>
      <w:r w:rsidRPr="00FC0103">
        <w:rPr>
          <w:noProof/>
          <w:lang w:val="en-GB"/>
        </w:rPr>
        <w:t xml:space="preserve">, </w:t>
      </w:r>
      <w:r w:rsidRPr="00FC0103">
        <w:rPr>
          <w:i/>
          <w:iCs/>
          <w:noProof/>
          <w:lang w:val="en-GB"/>
        </w:rPr>
        <w:t>13</w:t>
      </w:r>
      <w:r w:rsidRPr="00FC0103">
        <w:rPr>
          <w:noProof/>
          <w:lang w:val="en-GB"/>
        </w:rPr>
        <w:t>(3), 296–311. https://doi.org/10.1016/j.jalz.2016.09.012</w:t>
      </w:r>
    </w:p>
    <w:p w14:paraId="43F237F7"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Murali, K. M., Mullan, J., Roodenrys, S., Hassan, H. I. C., &amp; Lonergan, M. (2021). Changes in measures of cognitive function in patients with end-stage kidney disease on dialysis and the effect of dialysis vintage: A longitudinal cohort study. </w:t>
      </w:r>
      <w:r w:rsidRPr="00FC0103">
        <w:rPr>
          <w:i/>
          <w:iCs/>
          <w:noProof/>
          <w:lang w:val="en-GB"/>
        </w:rPr>
        <w:t>PLoS ONE</w:t>
      </w:r>
      <w:r w:rsidRPr="00FC0103">
        <w:rPr>
          <w:noProof/>
          <w:lang w:val="en-GB"/>
        </w:rPr>
        <w:t xml:space="preserve">, </w:t>
      </w:r>
      <w:r w:rsidRPr="00FC0103">
        <w:rPr>
          <w:i/>
          <w:iCs/>
          <w:noProof/>
          <w:lang w:val="en-GB"/>
        </w:rPr>
        <w:t>16</w:t>
      </w:r>
      <w:r w:rsidRPr="00FC0103">
        <w:rPr>
          <w:noProof/>
          <w:lang w:val="en-GB"/>
        </w:rPr>
        <w:t>(5), e0252237. https://doi.org/10.1371/journal.pone.0252237</w:t>
      </w:r>
    </w:p>
    <w:p w14:paraId="3E59CE28"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Murray, A. M. (2008). Cognitive Impairment in the Aging Dialysis and Chronic Kidney Disease Populations: an Occult Burden. </w:t>
      </w:r>
      <w:r w:rsidRPr="00FC0103">
        <w:rPr>
          <w:i/>
          <w:iCs/>
          <w:noProof/>
          <w:lang w:val="en-GB"/>
        </w:rPr>
        <w:t>Advances in Chronic Kidney Disease</w:t>
      </w:r>
      <w:r w:rsidRPr="00FC0103">
        <w:rPr>
          <w:noProof/>
          <w:lang w:val="en-GB"/>
        </w:rPr>
        <w:t xml:space="preserve">, </w:t>
      </w:r>
      <w:r w:rsidRPr="00FC0103">
        <w:rPr>
          <w:i/>
          <w:iCs/>
          <w:noProof/>
          <w:lang w:val="en-GB"/>
        </w:rPr>
        <w:t>15</w:t>
      </w:r>
      <w:r w:rsidRPr="00FC0103">
        <w:rPr>
          <w:noProof/>
          <w:lang w:val="en-GB"/>
        </w:rPr>
        <w:t>(2), 123–132.</w:t>
      </w:r>
    </w:p>
    <w:p w14:paraId="16469CB1"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National Kidney Foundation. (2003). K/DOQI Clinical Practice Guidelines for Bone </w:t>
      </w:r>
      <w:r w:rsidRPr="00FC0103">
        <w:rPr>
          <w:noProof/>
          <w:lang w:val="en-GB"/>
        </w:rPr>
        <w:lastRenderedPageBreak/>
        <w:t xml:space="preserve">Metabolism and Disease in Chronic Kidney Disease. In </w:t>
      </w:r>
      <w:r w:rsidRPr="00FC0103">
        <w:rPr>
          <w:i/>
          <w:iCs/>
          <w:noProof/>
          <w:lang w:val="en-GB"/>
        </w:rPr>
        <w:t>American Journal of Kidney Diseases</w:t>
      </w:r>
      <w:r w:rsidRPr="00FC0103">
        <w:rPr>
          <w:noProof/>
          <w:lang w:val="en-GB"/>
        </w:rPr>
        <w:t xml:space="preserve"> (Vol. 42, Issue 4).</w:t>
      </w:r>
    </w:p>
    <w:p w14:paraId="2DF5E2B5"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Ng, H. J., Tan, W. J., Mooppil, N., Newman, S., &amp; Griva, K. (2015). Prevalence and patterns of depression and anxiety in hemodialysis patients: A 12-month prospective study on incident and prevalent populations. </w:t>
      </w:r>
      <w:r w:rsidRPr="00FC0103">
        <w:rPr>
          <w:i/>
          <w:iCs/>
          <w:noProof/>
          <w:lang w:val="en-GB"/>
        </w:rPr>
        <w:t>British Journal of Health Psychology</w:t>
      </w:r>
      <w:r w:rsidRPr="00FC0103">
        <w:rPr>
          <w:noProof/>
          <w:lang w:val="en-GB"/>
        </w:rPr>
        <w:t xml:space="preserve">, </w:t>
      </w:r>
      <w:r w:rsidRPr="00FC0103">
        <w:rPr>
          <w:i/>
          <w:iCs/>
          <w:noProof/>
          <w:lang w:val="en-GB"/>
        </w:rPr>
        <w:t>20</w:t>
      </w:r>
      <w:r w:rsidRPr="00FC0103">
        <w:rPr>
          <w:noProof/>
          <w:lang w:val="en-GB"/>
        </w:rPr>
        <w:t>, 374–395. https://doi.org/10.1111/bjhp.12106</w:t>
      </w:r>
    </w:p>
    <w:p w14:paraId="4D06FA44"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O’Lone, E., Connors, M., Masson, P., Wu, S., Kelly, P. J., Gillespie, D., Parker, D., Whiteley, W., Strippoli, G. F. M., Palmer, S. C., Craig, J. C., &amp; Webster, A. C. (2016). Cognition in people with end-stage kidney disease treated with hemodialysis: A systematic review and meta-analysis. </w:t>
      </w:r>
      <w:r w:rsidRPr="00FC0103">
        <w:rPr>
          <w:i/>
          <w:iCs/>
          <w:noProof/>
          <w:lang w:val="en-GB"/>
        </w:rPr>
        <w:t>American Journal of Kidney Diseases</w:t>
      </w:r>
      <w:r w:rsidRPr="00FC0103">
        <w:rPr>
          <w:noProof/>
          <w:lang w:val="en-GB"/>
        </w:rPr>
        <w:t xml:space="preserve">, </w:t>
      </w:r>
      <w:r w:rsidRPr="00FC0103">
        <w:rPr>
          <w:i/>
          <w:iCs/>
          <w:noProof/>
          <w:lang w:val="en-GB"/>
        </w:rPr>
        <w:t>67</w:t>
      </w:r>
      <w:r w:rsidRPr="00FC0103">
        <w:rPr>
          <w:noProof/>
          <w:lang w:val="en-GB"/>
        </w:rPr>
        <w:t>(6), 925–935. https://doi.org/10.1053/j.ajkd.2015.12.028</w:t>
      </w:r>
    </w:p>
    <w:p w14:paraId="1FBBEB9B"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Osborne, R. H., Elsworth, G. R., &amp; Whitfield, K. (2007). The Health Education Impact Questionnaire (heiQ): An outcomes and evaluation measure for patient education and self-management interventions for people with chronic conditions. </w:t>
      </w:r>
      <w:r w:rsidRPr="00FC0103">
        <w:rPr>
          <w:i/>
          <w:iCs/>
          <w:noProof/>
          <w:lang w:val="en-GB"/>
        </w:rPr>
        <w:t>Patient Education and Counseling</w:t>
      </w:r>
      <w:r w:rsidRPr="00FC0103">
        <w:rPr>
          <w:noProof/>
          <w:lang w:val="en-GB"/>
        </w:rPr>
        <w:t xml:space="preserve">, </w:t>
      </w:r>
      <w:r w:rsidRPr="00FC0103">
        <w:rPr>
          <w:i/>
          <w:iCs/>
          <w:noProof/>
          <w:lang w:val="en-GB"/>
        </w:rPr>
        <w:t>66</w:t>
      </w:r>
      <w:r w:rsidRPr="00FC0103">
        <w:rPr>
          <w:noProof/>
          <w:lang w:val="en-GB"/>
        </w:rPr>
        <w:t>, 192–201. https://doi.org/10.1016/j.pec.2006.12.002</w:t>
      </w:r>
    </w:p>
    <w:p w14:paraId="074A582D"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Paterson, T. S. E., O’Rourke, N., Jean Shapiro, R., &amp; Thornton, W. L. (2018). Medication adherence in renal transplant recipients: A latent variable model of psychosocial and neurocognitive predictors. </w:t>
      </w:r>
      <w:r w:rsidRPr="00FC0103">
        <w:rPr>
          <w:i/>
          <w:iCs/>
          <w:noProof/>
          <w:lang w:val="en-GB"/>
        </w:rPr>
        <w:t>PLoS ONE</w:t>
      </w:r>
      <w:r w:rsidRPr="00FC0103">
        <w:rPr>
          <w:noProof/>
          <w:lang w:val="en-GB"/>
        </w:rPr>
        <w:t xml:space="preserve">, </w:t>
      </w:r>
      <w:r w:rsidRPr="00FC0103">
        <w:rPr>
          <w:i/>
          <w:iCs/>
          <w:noProof/>
          <w:lang w:val="en-GB"/>
        </w:rPr>
        <w:t>13</w:t>
      </w:r>
      <w:r w:rsidRPr="00FC0103">
        <w:rPr>
          <w:noProof/>
          <w:lang w:val="en-GB"/>
        </w:rPr>
        <w:t>(9), e0204219. https://doi.org/10.1371/journal.pone.0204219</w:t>
      </w:r>
    </w:p>
    <w:p w14:paraId="4A257909"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Rabin, L. A., Smart, C. M., &amp; Amariglio, R. E. (2017). Subjective Cognitive Decline in Preclinical Alzheimer’s Disease. </w:t>
      </w:r>
      <w:r w:rsidRPr="00FC0103">
        <w:rPr>
          <w:i/>
          <w:iCs/>
          <w:noProof/>
          <w:lang w:val="en-GB"/>
        </w:rPr>
        <w:t>Annual Review of Clinical Psychology</w:t>
      </w:r>
      <w:r w:rsidRPr="00FC0103">
        <w:rPr>
          <w:noProof/>
          <w:lang w:val="en-GB"/>
        </w:rPr>
        <w:t xml:space="preserve">, </w:t>
      </w:r>
      <w:r w:rsidRPr="00FC0103">
        <w:rPr>
          <w:i/>
          <w:iCs/>
          <w:noProof/>
          <w:lang w:val="en-GB"/>
        </w:rPr>
        <w:t>13</w:t>
      </w:r>
      <w:r w:rsidRPr="00FC0103">
        <w:rPr>
          <w:noProof/>
          <w:lang w:val="en-GB"/>
        </w:rPr>
        <w:t>, 369–396. https://doi.org/10.1146/annurev-clinpsy-032816-045136</w:t>
      </w:r>
    </w:p>
    <w:p w14:paraId="1AA11B13"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Rao, S., Carter, W. B., Mapes, D. L., Kallich, J. D., Kamberg, C. J., Spritzer, K. L., &amp; Hays, R. D. (2000). Development of subscales from the symptoms/problems and effects of kidney disease scales of the Kidney Disease Quality of Life Instrument. </w:t>
      </w:r>
      <w:r w:rsidRPr="00FC0103">
        <w:rPr>
          <w:i/>
          <w:iCs/>
          <w:noProof/>
          <w:lang w:val="en-GB"/>
        </w:rPr>
        <w:t xml:space="preserve">Clinical </w:t>
      </w:r>
      <w:r w:rsidRPr="00FC0103">
        <w:rPr>
          <w:i/>
          <w:iCs/>
          <w:noProof/>
          <w:lang w:val="en-GB"/>
        </w:rPr>
        <w:lastRenderedPageBreak/>
        <w:t>Therapeutics</w:t>
      </w:r>
      <w:r w:rsidRPr="00FC0103">
        <w:rPr>
          <w:noProof/>
          <w:lang w:val="en-GB"/>
        </w:rPr>
        <w:t xml:space="preserve">, </w:t>
      </w:r>
      <w:r w:rsidRPr="00FC0103">
        <w:rPr>
          <w:i/>
          <w:iCs/>
          <w:noProof/>
          <w:lang w:val="en-GB"/>
        </w:rPr>
        <w:t>22</w:t>
      </w:r>
      <w:r w:rsidRPr="00FC0103">
        <w:rPr>
          <w:noProof/>
          <w:lang w:val="en-GB"/>
        </w:rPr>
        <w:t>(9), 1099–1111. https://doi.org/10.1016/S0149-2918(00)80087-9</w:t>
      </w:r>
    </w:p>
    <w:p w14:paraId="31986259"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Ritter, P. L., &amp; Lorig, K. (2014). The English and Spanish Self-Efficacy to Manage Chronic Disease Scale measures were validated using multiple studies. </w:t>
      </w:r>
      <w:r w:rsidRPr="00FC0103">
        <w:rPr>
          <w:i/>
          <w:iCs/>
          <w:noProof/>
          <w:lang w:val="en-GB"/>
        </w:rPr>
        <w:t>Journal of Clinical Epidemiology</w:t>
      </w:r>
      <w:r w:rsidRPr="00FC0103">
        <w:rPr>
          <w:noProof/>
          <w:lang w:val="en-GB"/>
        </w:rPr>
        <w:t xml:space="preserve">, </w:t>
      </w:r>
      <w:r w:rsidRPr="00FC0103">
        <w:rPr>
          <w:i/>
          <w:iCs/>
          <w:noProof/>
          <w:lang w:val="en-GB"/>
        </w:rPr>
        <w:t>67</w:t>
      </w:r>
      <w:r w:rsidRPr="00FC0103">
        <w:rPr>
          <w:noProof/>
          <w:lang w:val="en-GB"/>
        </w:rPr>
        <w:t>, 1265–1273. https://doi.org/10.1016/j.jclinepi.2014.06.009</w:t>
      </w:r>
    </w:p>
    <w:p w14:paraId="3E01BDE2"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Rushe, H., &amp; Mcgee, H. M. (1998). Assessing adherence to dietary recommendations for hemodialysis patients: The Renal Adherence Attitudes Questionnaire (RAAQ) and the Renal Adherence Behaviour Questionnaire (RABQ). </w:t>
      </w:r>
      <w:r w:rsidRPr="00FC0103">
        <w:rPr>
          <w:i/>
          <w:iCs/>
          <w:noProof/>
          <w:lang w:val="en-GB"/>
        </w:rPr>
        <w:t>Journal of Psychosomatic Research</w:t>
      </w:r>
      <w:r w:rsidRPr="00FC0103">
        <w:rPr>
          <w:noProof/>
          <w:lang w:val="en-GB"/>
        </w:rPr>
        <w:t xml:space="preserve">, </w:t>
      </w:r>
      <w:r w:rsidRPr="00FC0103">
        <w:rPr>
          <w:i/>
          <w:iCs/>
          <w:noProof/>
          <w:lang w:val="en-GB"/>
        </w:rPr>
        <w:t>45</w:t>
      </w:r>
      <w:r w:rsidRPr="00FC0103">
        <w:rPr>
          <w:noProof/>
          <w:lang w:val="en-GB"/>
        </w:rPr>
        <w:t>(2), 149–157. https://doi.org/10.1016/S0022-3999(97)00228-6</w:t>
      </w:r>
    </w:p>
    <w:p w14:paraId="63DE60DD"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San, A., Hiremagalur, B., Muircroft, W., &amp; Grealish, L. (2017). Screening of Cognitive Impairment in the Dialysis Population: A Scoping Review. </w:t>
      </w:r>
      <w:r w:rsidRPr="00FC0103">
        <w:rPr>
          <w:i/>
          <w:iCs/>
          <w:noProof/>
          <w:lang w:val="en-GB"/>
        </w:rPr>
        <w:t>Dementia and Geriatric Cognitive Disorders</w:t>
      </w:r>
      <w:r w:rsidRPr="00FC0103">
        <w:rPr>
          <w:noProof/>
          <w:lang w:val="en-GB"/>
        </w:rPr>
        <w:t xml:space="preserve">, </w:t>
      </w:r>
      <w:r w:rsidRPr="00FC0103">
        <w:rPr>
          <w:i/>
          <w:iCs/>
          <w:noProof/>
          <w:lang w:val="en-GB"/>
        </w:rPr>
        <w:t>44</w:t>
      </w:r>
      <w:r w:rsidRPr="00FC0103">
        <w:rPr>
          <w:noProof/>
          <w:lang w:val="en-GB"/>
        </w:rPr>
        <w:t>, 182–195. https://doi.org/10.1159/000479679</w:t>
      </w:r>
    </w:p>
    <w:p w14:paraId="6536EF5A"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Sehgal, A. R., Grey, S. F., DeOreo, P. B., &amp; Whitehouse, P. J. (1997). Prevalence, recognition, and implications of mental impairment among hemodialysis patients. </w:t>
      </w:r>
      <w:r w:rsidRPr="00FC0103">
        <w:rPr>
          <w:i/>
          <w:iCs/>
          <w:noProof/>
          <w:lang w:val="en-GB"/>
        </w:rPr>
        <w:t>American Journal of Kidney Diseases</w:t>
      </w:r>
      <w:r w:rsidRPr="00FC0103">
        <w:rPr>
          <w:noProof/>
          <w:lang w:val="en-GB"/>
        </w:rPr>
        <w:t xml:space="preserve">, </w:t>
      </w:r>
      <w:r w:rsidRPr="00FC0103">
        <w:rPr>
          <w:i/>
          <w:iCs/>
          <w:noProof/>
          <w:lang w:val="en-GB"/>
        </w:rPr>
        <w:t>30</w:t>
      </w:r>
      <w:r w:rsidRPr="00FC0103">
        <w:rPr>
          <w:noProof/>
          <w:lang w:val="en-GB"/>
        </w:rPr>
        <w:t>(1), 41–49. https://doi.org/10.1016/S0272-6386(97)90563-1</w:t>
      </w:r>
    </w:p>
    <w:p w14:paraId="07892D36"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Shea, Y. fung, Lee, M. suen C., Mok, M. yee M., Chan, F. H. wai, &amp; Chan, T. M. (2019). Prevalence of cognitive impairment among peritoneal dialysis patients: a systematic review and meta-analysis. </w:t>
      </w:r>
      <w:r w:rsidRPr="00FC0103">
        <w:rPr>
          <w:i/>
          <w:iCs/>
          <w:noProof/>
          <w:lang w:val="en-GB"/>
        </w:rPr>
        <w:t>Clinical and Experimental Nephrology</w:t>
      </w:r>
      <w:r w:rsidRPr="00FC0103">
        <w:rPr>
          <w:noProof/>
          <w:lang w:val="en-GB"/>
        </w:rPr>
        <w:t xml:space="preserve">, </w:t>
      </w:r>
      <w:r w:rsidRPr="00FC0103">
        <w:rPr>
          <w:i/>
          <w:iCs/>
          <w:noProof/>
          <w:lang w:val="en-GB"/>
        </w:rPr>
        <w:t>23</w:t>
      </w:r>
      <w:r w:rsidRPr="00FC0103">
        <w:rPr>
          <w:noProof/>
          <w:lang w:val="en-GB"/>
        </w:rPr>
        <w:t>, 1221–1234. https://doi.org/10.1007/s10157-019-01762-1</w:t>
      </w:r>
    </w:p>
    <w:p w14:paraId="3498181B"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Song, M.-K., Paul, S., Ward, S. E., Gilet, C. A., &amp; Hladik, G. A. (2018). One-Year Linear Trajectories of Symptoms, Physical Functioning, Cognitive Functioning, Emotional Well-being, and Spiritual Well-being Among Patients Receiving Dialysis. </w:t>
      </w:r>
      <w:r w:rsidRPr="00FC0103">
        <w:rPr>
          <w:i/>
          <w:iCs/>
          <w:noProof/>
          <w:lang w:val="en-GB"/>
        </w:rPr>
        <w:t>American Journal of Kidney Diseases</w:t>
      </w:r>
      <w:r w:rsidRPr="00FC0103">
        <w:rPr>
          <w:noProof/>
          <w:lang w:val="en-GB"/>
        </w:rPr>
        <w:t xml:space="preserve">, </w:t>
      </w:r>
      <w:r w:rsidRPr="00FC0103">
        <w:rPr>
          <w:i/>
          <w:iCs/>
          <w:noProof/>
          <w:lang w:val="en-GB"/>
        </w:rPr>
        <w:t>72</w:t>
      </w:r>
      <w:r w:rsidRPr="00FC0103">
        <w:rPr>
          <w:noProof/>
          <w:lang w:val="en-GB"/>
        </w:rPr>
        <w:t>(2), 198–204. https://doi.org/10.1053/j.ajkd.2017.11.016</w:t>
      </w:r>
    </w:p>
    <w:p w14:paraId="49E19315"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Song, M.-K., Ward, S. E., Bair, E., Weiner, L. J., Bridgman, J. C., Hladik, G. A., &amp; Gilet, C. A. (2015). Patient-reported cognitive functioning and daily functioning in chronic </w:t>
      </w:r>
      <w:r w:rsidRPr="00FC0103">
        <w:rPr>
          <w:noProof/>
          <w:lang w:val="en-GB"/>
        </w:rPr>
        <w:lastRenderedPageBreak/>
        <w:t xml:space="preserve">dialysis patients. </w:t>
      </w:r>
      <w:r w:rsidRPr="00FC0103">
        <w:rPr>
          <w:i/>
          <w:iCs/>
          <w:noProof/>
          <w:lang w:val="en-GB"/>
        </w:rPr>
        <w:t>Hemodialysis International</w:t>
      </w:r>
      <w:r w:rsidRPr="00FC0103">
        <w:rPr>
          <w:noProof/>
          <w:lang w:val="en-GB"/>
        </w:rPr>
        <w:t xml:space="preserve">, </w:t>
      </w:r>
      <w:r w:rsidRPr="00FC0103">
        <w:rPr>
          <w:i/>
          <w:iCs/>
          <w:noProof/>
          <w:lang w:val="en-GB"/>
        </w:rPr>
        <w:t>19</w:t>
      </w:r>
      <w:r w:rsidRPr="00FC0103">
        <w:rPr>
          <w:noProof/>
          <w:lang w:val="en-GB"/>
        </w:rPr>
        <w:t>, 90–99. https://doi.org/10.1111/hdi.12202</w:t>
      </w:r>
    </w:p>
    <w:p w14:paraId="6DD46D36"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Sorensen, E. P., Sarnak, M. J., Tighiouart, H., Scott, T., Giang, L. M., Kirkpatrick, B., Lou, K., &amp; Weiner, D. E. (2012). The Kidney Disease Quality of Life Cognitive Function subscale and cognitive performance in maintenance hemodialysis patients. </w:t>
      </w:r>
      <w:r w:rsidRPr="00FC0103">
        <w:rPr>
          <w:i/>
          <w:iCs/>
          <w:noProof/>
          <w:lang w:val="en-GB"/>
        </w:rPr>
        <w:t>American Journal of Kidney Diseases</w:t>
      </w:r>
      <w:r w:rsidRPr="00FC0103">
        <w:rPr>
          <w:noProof/>
          <w:lang w:val="en-GB"/>
        </w:rPr>
        <w:t xml:space="preserve">, </w:t>
      </w:r>
      <w:r w:rsidRPr="00FC0103">
        <w:rPr>
          <w:i/>
          <w:iCs/>
          <w:noProof/>
          <w:lang w:val="en-GB"/>
        </w:rPr>
        <w:t>60</w:t>
      </w:r>
      <w:r w:rsidRPr="00FC0103">
        <w:rPr>
          <w:noProof/>
          <w:lang w:val="en-GB"/>
        </w:rPr>
        <w:t>(3), 417–426. https://doi.org/10.1053/j.ajkd.2011.12.029</w:t>
      </w:r>
    </w:p>
    <w:p w14:paraId="096E8FA1"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Świątoniowska-Lonc, N., Polański, J., Tański, W., &amp; Jankowska-Polańska, B. (2021). Impact of cognitive impairment on adherence to treatment and self-care in patients with type 2 diabetes mellitus. </w:t>
      </w:r>
      <w:r w:rsidRPr="00FC0103">
        <w:rPr>
          <w:i/>
          <w:iCs/>
          <w:noProof/>
          <w:lang w:val="en-GB"/>
        </w:rPr>
        <w:t>Diabetes, Metabolic Syndrome and Obesity: Targets and Therapy</w:t>
      </w:r>
      <w:r w:rsidRPr="00FC0103">
        <w:rPr>
          <w:noProof/>
          <w:lang w:val="en-GB"/>
        </w:rPr>
        <w:t xml:space="preserve">, </w:t>
      </w:r>
      <w:r w:rsidRPr="00FC0103">
        <w:rPr>
          <w:i/>
          <w:iCs/>
          <w:noProof/>
          <w:lang w:val="en-GB"/>
        </w:rPr>
        <w:t>14</w:t>
      </w:r>
      <w:r w:rsidRPr="00FC0103">
        <w:rPr>
          <w:noProof/>
          <w:lang w:val="en-GB"/>
        </w:rPr>
        <w:t>, 193–203. https://doi.org/10.2147/DMSO.S284468</w:t>
      </w:r>
    </w:p>
    <w:p w14:paraId="7188D340"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Thornton, W. L., &amp; Dumke, H. A. (2005). Age differences in everyday problem-solving and decision-making effectiveness: A meta-analytic review. </w:t>
      </w:r>
      <w:r w:rsidRPr="00FC0103">
        <w:rPr>
          <w:i/>
          <w:iCs/>
          <w:noProof/>
          <w:lang w:val="en-GB"/>
        </w:rPr>
        <w:t>Psychology and Aging</w:t>
      </w:r>
      <w:r w:rsidRPr="00FC0103">
        <w:rPr>
          <w:noProof/>
          <w:lang w:val="en-GB"/>
        </w:rPr>
        <w:t xml:space="preserve">, </w:t>
      </w:r>
      <w:r w:rsidRPr="00FC0103">
        <w:rPr>
          <w:i/>
          <w:iCs/>
          <w:noProof/>
          <w:lang w:val="en-GB"/>
        </w:rPr>
        <w:t>20</w:t>
      </w:r>
      <w:r w:rsidRPr="00FC0103">
        <w:rPr>
          <w:noProof/>
          <w:lang w:val="en-GB"/>
        </w:rPr>
        <w:t>(1), 85–99. https://doi.org/10.1037/0882-7974.20.1.85</w:t>
      </w:r>
    </w:p>
    <w:p w14:paraId="291D2E32"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Tian, X., Guo, X., Xia, X., Yu, H., Li, X., &amp; Jiang, A. (2019). The comparison of cognitive function and risk of dementia in CKD patients under peritoneal dialysis and hemodialysis: A PRISMA-compliant systematic review and meta-analysis. </w:t>
      </w:r>
      <w:r w:rsidRPr="00FC0103">
        <w:rPr>
          <w:i/>
          <w:iCs/>
          <w:noProof/>
          <w:lang w:val="en-GB"/>
        </w:rPr>
        <w:t>Medicine</w:t>
      </w:r>
      <w:r w:rsidRPr="00FC0103">
        <w:rPr>
          <w:noProof/>
          <w:lang w:val="en-GB"/>
        </w:rPr>
        <w:t xml:space="preserve">, </w:t>
      </w:r>
      <w:r w:rsidRPr="00FC0103">
        <w:rPr>
          <w:i/>
          <w:iCs/>
          <w:noProof/>
          <w:lang w:val="en-GB"/>
        </w:rPr>
        <w:t>98</w:t>
      </w:r>
      <w:r w:rsidRPr="00FC0103">
        <w:rPr>
          <w:noProof/>
          <w:lang w:val="en-GB"/>
        </w:rPr>
        <w:t>(6), e14390. https://doi.org/10.1097/md.0000000000014390</w:t>
      </w:r>
    </w:p>
    <w:p w14:paraId="5F81F606"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Vanderlinden, J. A., Ross-White, A., Holden, R., Shamseddin, M. K., Day, A., &amp; Boyd, J. G. (2019). Quantifying cognitive dysfunction across the spectrum of end-stage kidney disease: A systematic review and meta-analysis. </w:t>
      </w:r>
      <w:r w:rsidRPr="00FC0103">
        <w:rPr>
          <w:i/>
          <w:iCs/>
          <w:noProof/>
          <w:lang w:val="en-GB"/>
        </w:rPr>
        <w:t>Nephrology</w:t>
      </w:r>
      <w:r w:rsidRPr="00FC0103">
        <w:rPr>
          <w:noProof/>
          <w:lang w:val="en-GB"/>
        </w:rPr>
        <w:t xml:space="preserve">, </w:t>
      </w:r>
      <w:r w:rsidRPr="00FC0103">
        <w:rPr>
          <w:i/>
          <w:iCs/>
          <w:noProof/>
          <w:lang w:val="en-GB"/>
        </w:rPr>
        <w:t>24</w:t>
      </w:r>
      <w:r w:rsidRPr="00FC0103">
        <w:rPr>
          <w:noProof/>
          <w:lang w:val="en-GB"/>
        </w:rPr>
        <w:t>, 5–16. https://doi.org/10.1111/nep.13448</w:t>
      </w:r>
    </w:p>
    <w:p w14:paraId="17C8376C"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Wei, L., Champman, S., Li, X., Li, X., Li, S., Chen, R., Bo, N., Chater, A., &amp; Horne, R. (2017). Beliefs about medicines and non-adherence in patients with stroke, diabetes mellitus and rheumatoid arthritis: a cross-sectional study in China. </w:t>
      </w:r>
      <w:r w:rsidRPr="00FC0103">
        <w:rPr>
          <w:i/>
          <w:iCs/>
          <w:noProof/>
          <w:lang w:val="en-GB"/>
        </w:rPr>
        <w:t>BMJ Open</w:t>
      </w:r>
      <w:r w:rsidRPr="00FC0103">
        <w:rPr>
          <w:noProof/>
          <w:lang w:val="en-GB"/>
        </w:rPr>
        <w:t xml:space="preserve">, </w:t>
      </w:r>
      <w:r w:rsidRPr="00FC0103">
        <w:rPr>
          <w:i/>
          <w:iCs/>
          <w:noProof/>
          <w:lang w:val="en-GB"/>
        </w:rPr>
        <w:t>7</w:t>
      </w:r>
      <w:r w:rsidRPr="00FC0103">
        <w:rPr>
          <w:noProof/>
          <w:lang w:val="en-GB"/>
        </w:rPr>
        <w:t>, e017293. https://doi.org/10.1136/bmjopen-2017-017293</w:t>
      </w:r>
    </w:p>
    <w:p w14:paraId="7702EBA5"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lastRenderedPageBreak/>
        <w:t xml:space="preserve">Weisbord, S. D., Fried, L. F., Arnold, R. M., Fine, M. J., Levenson, D. J., Peterson, R. A., &amp; Switzer, G. E. (2005). Prevalence, severity, and importance of physical and emotional symptoms in chronic hemodialysis patients. </w:t>
      </w:r>
      <w:r w:rsidRPr="00FC0103">
        <w:rPr>
          <w:i/>
          <w:iCs/>
          <w:noProof/>
          <w:lang w:val="en-GB"/>
        </w:rPr>
        <w:t>Journal of the American Society of Nephrology</w:t>
      </w:r>
      <w:r w:rsidRPr="00FC0103">
        <w:rPr>
          <w:noProof/>
          <w:lang w:val="en-GB"/>
        </w:rPr>
        <w:t xml:space="preserve">, </w:t>
      </w:r>
      <w:r w:rsidRPr="00FC0103">
        <w:rPr>
          <w:i/>
          <w:iCs/>
          <w:noProof/>
          <w:lang w:val="en-GB"/>
        </w:rPr>
        <w:t>16</w:t>
      </w:r>
      <w:r w:rsidRPr="00FC0103">
        <w:rPr>
          <w:noProof/>
          <w:lang w:val="en-GB"/>
        </w:rPr>
        <w:t>(8), 2487–2494. https://doi.org/10.1681/ASN.2005020157</w:t>
      </w:r>
    </w:p>
    <w:p w14:paraId="461708BC"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Wolfgram, D. F. (2018). Filtering the Evidence: Is There a Cognitive Cost of Hemodialysis? </w:t>
      </w:r>
      <w:r w:rsidRPr="00FC0103">
        <w:rPr>
          <w:i/>
          <w:iCs/>
          <w:noProof/>
          <w:lang w:val="en-GB"/>
        </w:rPr>
        <w:t>Journal of the American Society of Nephrology</w:t>
      </w:r>
      <w:r w:rsidRPr="00FC0103">
        <w:rPr>
          <w:noProof/>
          <w:lang w:val="en-GB"/>
        </w:rPr>
        <w:t xml:space="preserve">, </w:t>
      </w:r>
      <w:r w:rsidRPr="00FC0103">
        <w:rPr>
          <w:i/>
          <w:iCs/>
          <w:noProof/>
          <w:lang w:val="en-GB"/>
        </w:rPr>
        <w:t>29</w:t>
      </w:r>
      <w:r w:rsidRPr="00FC0103">
        <w:rPr>
          <w:noProof/>
          <w:lang w:val="en-GB"/>
        </w:rPr>
        <w:t>, 1087–1089. https://doi.org/10.1681/ASN.2018010077</w:t>
      </w:r>
    </w:p>
    <w:p w14:paraId="7CB6EE6F"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Yang, F., Wang, V. W., Joshi, V. D., Lau, T. W. L., &amp; Luo, N. (2013). Validation of the english version of the kidney disease quality of life questionnaire (KDQOL-36) in haemodialysis patients in Singapore. </w:t>
      </w:r>
      <w:r w:rsidRPr="00FC0103">
        <w:rPr>
          <w:i/>
          <w:iCs/>
          <w:noProof/>
          <w:lang w:val="en-GB"/>
        </w:rPr>
        <w:t>Patient</w:t>
      </w:r>
      <w:r w:rsidRPr="00FC0103">
        <w:rPr>
          <w:noProof/>
          <w:lang w:val="en-GB"/>
        </w:rPr>
        <w:t xml:space="preserve">, </w:t>
      </w:r>
      <w:r w:rsidRPr="00FC0103">
        <w:rPr>
          <w:i/>
          <w:iCs/>
          <w:noProof/>
          <w:lang w:val="en-GB"/>
        </w:rPr>
        <w:t>6</w:t>
      </w:r>
      <w:r w:rsidRPr="00FC0103">
        <w:rPr>
          <w:noProof/>
          <w:lang w:val="en-GB"/>
        </w:rPr>
        <w:t>, 135–141. https://doi.org/10.1007/s40271-013-0015-2</w:t>
      </w:r>
    </w:p>
    <w:p w14:paraId="10E605DF" w14:textId="77777777" w:rsidR="00FC0103" w:rsidRPr="00FC0103" w:rsidRDefault="00FC0103" w:rsidP="00FC0103">
      <w:pPr>
        <w:widowControl w:val="0"/>
        <w:autoSpaceDE w:val="0"/>
        <w:autoSpaceDN w:val="0"/>
        <w:adjustRightInd w:val="0"/>
        <w:spacing w:line="480" w:lineRule="auto"/>
        <w:ind w:left="480" w:hanging="480"/>
        <w:rPr>
          <w:noProof/>
          <w:lang w:val="en-GB"/>
        </w:rPr>
      </w:pPr>
      <w:r w:rsidRPr="00FC0103">
        <w:rPr>
          <w:noProof/>
          <w:lang w:val="en-GB"/>
        </w:rPr>
        <w:t xml:space="preserve">Zhang, K., Hannan, E., Scholes-Robertson, N., Baumgart, A., Guha, C., Kerklaan, J., Hanson, C. S., Craig, J. C., Davison, S. N., Hecking, M., &amp; Tong, A. (2020). Patients’ perspectives of pain in dialysis: systematic review and thematic synthesis of qualitative studies. </w:t>
      </w:r>
      <w:r w:rsidRPr="00FC0103">
        <w:rPr>
          <w:i/>
          <w:iCs/>
          <w:noProof/>
          <w:lang w:val="en-GB"/>
        </w:rPr>
        <w:t>Pain</w:t>
      </w:r>
      <w:r w:rsidRPr="00FC0103">
        <w:rPr>
          <w:noProof/>
          <w:lang w:val="en-GB"/>
        </w:rPr>
        <w:t xml:space="preserve">, </w:t>
      </w:r>
      <w:r w:rsidRPr="00FC0103">
        <w:rPr>
          <w:i/>
          <w:iCs/>
          <w:noProof/>
          <w:lang w:val="en-GB"/>
        </w:rPr>
        <w:t>161</w:t>
      </w:r>
      <w:r w:rsidRPr="00FC0103">
        <w:rPr>
          <w:noProof/>
          <w:lang w:val="en-GB"/>
        </w:rPr>
        <w:t>(9), 1983–1994. https://doi.org/10.1097/j.pain.0000000000001931</w:t>
      </w:r>
    </w:p>
    <w:p w14:paraId="637C0511" w14:textId="77777777" w:rsidR="00FC0103" w:rsidRPr="00FC0103" w:rsidRDefault="00FC0103" w:rsidP="00FC0103">
      <w:pPr>
        <w:widowControl w:val="0"/>
        <w:autoSpaceDE w:val="0"/>
        <w:autoSpaceDN w:val="0"/>
        <w:adjustRightInd w:val="0"/>
        <w:spacing w:line="480" w:lineRule="auto"/>
        <w:ind w:left="480" w:hanging="480"/>
        <w:rPr>
          <w:noProof/>
        </w:rPr>
      </w:pPr>
      <w:r w:rsidRPr="00FC0103">
        <w:rPr>
          <w:noProof/>
          <w:lang w:val="en-GB"/>
        </w:rPr>
        <w:t xml:space="preserve">Zigmond, A. S., &amp; Snaith, R. P. (1983). The Hospital Anxiety and Depression Scale. </w:t>
      </w:r>
      <w:r w:rsidRPr="00FC0103">
        <w:rPr>
          <w:i/>
          <w:iCs/>
          <w:noProof/>
          <w:lang w:val="en-GB"/>
        </w:rPr>
        <w:t>Acta Psychiatrica Scandinavica</w:t>
      </w:r>
      <w:r w:rsidRPr="00FC0103">
        <w:rPr>
          <w:noProof/>
          <w:lang w:val="en-GB"/>
        </w:rPr>
        <w:t xml:space="preserve">, </w:t>
      </w:r>
      <w:r w:rsidRPr="00FC0103">
        <w:rPr>
          <w:i/>
          <w:iCs/>
          <w:noProof/>
          <w:lang w:val="en-GB"/>
        </w:rPr>
        <w:t>67</w:t>
      </w:r>
      <w:r w:rsidRPr="00FC0103">
        <w:rPr>
          <w:noProof/>
          <w:lang w:val="en-GB"/>
        </w:rPr>
        <w:t>, 361–370. https://www.ncbi.nlm.nih.gov/pubmed/6880820</w:t>
      </w:r>
    </w:p>
    <w:p w14:paraId="36DEC1D1" w14:textId="27DB3AD7" w:rsidR="009765EB" w:rsidRPr="00577052" w:rsidRDefault="001101B4" w:rsidP="00FC0103">
      <w:pPr>
        <w:widowControl w:val="0"/>
        <w:autoSpaceDE w:val="0"/>
        <w:autoSpaceDN w:val="0"/>
        <w:adjustRightInd w:val="0"/>
        <w:spacing w:line="480" w:lineRule="auto"/>
        <w:ind w:left="480" w:hanging="480"/>
        <w:rPr>
          <w:lang w:val="en-GB"/>
        </w:rPr>
      </w:pPr>
      <w:r w:rsidRPr="00577052">
        <w:rPr>
          <w:lang w:val="en-GB"/>
        </w:rPr>
        <w:fldChar w:fldCharType="end"/>
      </w:r>
    </w:p>
    <w:sectPr w:rsidR="009765EB" w:rsidRPr="00577052" w:rsidSect="00A344FD">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wman, Stanton" w:date="2022-10-17T11:13:00Z" w:initials="NS">
    <w:p w14:paraId="4889E274" w14:textId="77777777" w:rsidR="006367E9" w:rsidRDefault="006367E9" w:rsidP="006367E9">
      <w:pPr>
        <w:pStyle w:val="CommentText"/>
      </w:pPr>
      <w:r>
        <w:rPr>
          <w:rStyle w:val="CommentReference"/>
        </w:rPr>
        <w:annotationRef/>
      </w:r>
      <w:r>
        <w:t xml:space="preserve">I would be careful about giving this early prominence in the discussion as it undermibnes the divisions you have made between the groups. I would add it under a study limitation.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9E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B9E6" w16cex:dateUtc="2022-10-17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9E274" w16cid:durableId="26F7B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963C" w14:textId="77777777" w:rsidR="00E1090A" w:rsidRDefault="00E1090A" w:rsidP="0011217C">
      <w:r>
        <w:separator/>
      </w:r>
    </w:p>
  </w:endnote>
  <w:endnote w:type="continuationSeparator" w:id="0">
    <w:p w14:paraId="49C1B850" w14:textId="77777777" w:rsidR="00E1090A" w:rsidRDefault="00E1090A" w:rsidP="0011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9DA8" w14:textId="77777777" w:rsidR="00E1090A" w:rsidRDefault="00E1090A" w:rsidP="0011217C">
      <w:r>
        <w:separator/>
      </w:r>
    </w:p>
  </w:footnote>
  <w:footnote w:type="continuationSeparator" w:id="0">
    <w:p w14:paraId="3D2EFA67" w14:textId="77777777" w:rsidR="00E1090A" w:rsidRDefault="00E1090A" w:rsidP="0011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7006D"/>
    <w:multiLevelType w:val="hybridMultilevel"/>
    <w:tmpl w:val="848C7A34"/>
    <w:lvl w:ilvl="0" w:tplc="FADEE09C">
      <w:start w:val="3"/>
      <w:numFmt w:val="bullet"/>
      <w:lvlText w:val="-"/>
      <w:lvlJc w:val="left"/>
      <w:pPr>
        <w:ind w:left="927" w:hanging="360"/>
      </w:pPr>
      <w:rPr>
        <w:rFonts w:ascii="Times New Roman" w:eastAsiaTheme="minorEastAsia"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1327962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wman, Stanton">
    <w15:presenceInfo w15:providerId="AD" w15:userId="S::stanton.newman.1@city.ac.uk::58d4913a-96fa-4cf6-b2f9-a55dec077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35"/>
    <w:rsid w:val="00000AD5"/>
    <w:rsid w:val="00000C99"/>
    <w:rsid w:val="00002495"/>
    <w:rsid w:val="000026B8"/>
    <w:rsid w:val="00002AE7"/>
    <w:rsid w:val="0000505D"/>
    <w:rsid w:val="000062F2"/>
    <w:rsid w:val="000063AF"/>
    <w:rsid w:val="0000716C"/>
    <w:rsid w:val="00011C19"/>
    <w:rsid w:val="00012183"/>
    <w:rsid w:val="000125F2"/>
    <w:rsid w:val="00013FA9"/>
    <w:rsid w:val="00016BDA"/>
    <w:rsid w:val="000170E1"/>
    <w:rsid w:val="000171D8"/>
    <w:rsid w:val="000173F7"/>
    <w:rsid w:val="00017DBD"/>
    <w:rsid w:val="000201BC"/>
    <w:rsid w:val="000208B7"/>
    <w:rsid w:val="00021182"/>
    <w:rsid w:val="00022AE5"/>
    <w:rsid w:val="00023C32"/>
    <w:rsid w:val="00024E93"/>
    <w:rsid w:val="0002743B"/>
    <w:rsid w:val="000321F1"/>
    <w:rsid w:val="000324F5"/>
    <w:rsid w:val="00034522"/>
    <w:rsid w:val="00034A5C"/>
    <w:rsid w:val="00035235"/>
    <w:rsid w:val="00035AE1"/>
    <w:rsid w:val="00036808"/>
    <w:rsid w:val="00036917"/>
    <w:rsid w:val="0003715D"/>
    <w:rsid w:val="0003746D"/>
    <w:rsid w:val="00040474"/>
    <w:rsid w:val="000407F4"/>
    <w:rsid w:val="000422F8"/>
    <w:rsid w:val="00042F3A"/>
    <w:rsid w:val="000455F6"/>
    <w:rsid w:val="00051F01"/>
    <w:rsid w:val="000527AA"/>
    <w:rsid w:val="000527B3"/>
    <w:rsid w:val="000527E3"/>
    <w:rsid w:val="00052CAE"/>
    <w:rsid w:val="00053DB9"/>
    <w:rsid w:val="00053F57"/>
    <w:rsid w:val="00054106"/>
    <w:rsid w:val="00054BBF"/>
    <w:rsid w:val="00056559"/>
    <w:rsid w:val="000572B7"/>
    <w:rsid w:val="00057ED0"/>
    <w:rsid w:val="00062127"/>
    <w:rsid w:val="0006241E"/>
    <w:rsid w:val="00067482"/>
    <w:rsid w:val="000675A9"/>
    <w:rsid w:val="000705E6"/>
    <w:rsid w:val="0007118B"/>
    <w:rsid w:val="000712EC"/>
    <w:rsid w:val="00072176"/>
    <w:rsid w:val="0007284D"/>
    <w:rsid w:val="00072BC1"/>
    <w:rsid w:val="00073702"/>
    <w:rsid w:val="00073828"/>
    <w:rsid w:val="000741C8"/>
    <w:rsid w:val="00074661"/>
    <w:rsid w:val="00076E15"/>
    <w:rsid w:val="00083321"/>
    <w:rsid w:val="00084995"/>
    <w:rsid w:val="00085A25"/>
    <w:rsid w:val="00086F3F"/>
    <w:rsid w:val="00087074"/>
    <w:rsid w:val="00087AC6"/>
    <w:rsid w:val="00087ACF"/>
    <w:rsid w:val="00091ABC"/>
    <w:rsid w:val="00092045"/>
    <w:rsid w:val="00092F2F"/>
    <w:rsid w:val="00095022"/>
    <w:rsid w:val="000967D4"/>
    <w:rsid w:val="0009764D"/>
    <w:rsid w:val="000979C4"/>
    <w:rsid w:val="000A060A"/>
    <w:rsid w:val="000A11BD"/>
    <w:rsid w:val="000A1258"/>
    <w:rsid w:val="000A3CCA"/>
    <w:rsid w:val="000A4D3D"/>
    <w:rsid w:val="000A6405"/>
    <w:rsid w:val="000A6CC8"/>
    <w:rsid w:val="000A7019"/>
    <w:rsid w:val="000A777D"/>
    <w:rsid w:val="000B025F"/>
    <w:rsid w:val="000B1989"/>
    <w:rsid w:val="000B45AF"/>
    <w:rsid w:val="000B5C34"/>
    <w:rsid w:val="000B7462"/>
    <w:rsid w:val="000C187B"/>
    <w:rsid w:val="000C2820"/>
    <w:rsid w:val="000C2D8B"/>
    <w:rsid w:val="000C3044"/>
    <w:rsid w:val="000C358F"/>
    <w:rsid w:val="000C46B0"/>
    <w:rsid w:val="000C4BB2"/>
    <w:rsid w:val="000C4CE2"/>
    <w:rsid w:val="000C4E62"/>
    <w:rsid w:val="000C50F6"/>
    <w:rsid w:val="000C5B0B"/>
    <w:rsid w:val="000C7391"/>
    <w:rsid w:val="000D1A0B"/>
    <w:rsid w:val="000D2924"/>
    <w:rsid w:val="000D2A05"/>
    <w:rsid w:val="000D4D87"/>
    <w:rsid w:val="000D542C"/>
    <w:rsid w:val="000D5D7A"/>
    <w:rsid w:val="000E094A"/>
    <w:rsid w:val="000E0C2F"/>
    <w:rsid w:val="000E180D"/>
    <w:rsid w:val="000E3C7B"/>
    <w:rsid w:val="000E54AB"/>
    <w:rsid w:val="000E5D7E"/>
    <w:rsid w:val="000E68E7"/>
    <w:rsid w:val="000F038D"/>
    <w:rsid w:val="000F15BC"/>
    <w:rsid w:val="000F1E3A"/>
    <w:rsid w:val="000F22CA"/>
    <w:rsid w:val="000F31B2"/>
    <w:rsid w:val="000F33C3"/>
    <w:rsid w:val="000F3F6F"/>
    <w:rsid w:val="000F42DB"/>
    <w:rsid w:val="000F51D5"/>
    <w:rsid w:val="000F5413"/>
    <w:rsid w:val="000F59FB"/>
    <w:rsid w:val="000F7020"/>
    <w:rsid w:val="000F73E6"/>
    <w:rsid w:val="000F75BE"/>
    <w:rsid w:val="000F786D"/>
    <w:rsid w:val="0010049A"/>
    <w:rsid w:val="00102842"/>
    <w:rsid w:val="00102A2D"/>
    <w:rsid w:val="00102D59"/>
    <w:rsid w:val="00102E65"/>
    <w:rsid w:val="0010594B"/>
    <w:rsid w:val="00105D9B"/>
    <w:rsid w:val="00106847"/>
    <w:rsid w:val="00107676"/>
    <w:rsid w:val="001101B4"/>
    <w:rsid w:val="00110CDC"/>
    <w:rsid w:val="00111385"/>
    <w:rsid w:val="0011140B"/>
    <w:rsid w:val="0011190C"/>
    <w:rsid w:val="0011213A"/>
    <w:rsid w:val="0011217C"/>
    <w:rsid w:val="001126C9"/>
    <w:rsid w:val="00112B79"/>
    <w:rsid w:val="001131CE"/>
    <w:rsid w:val="00116F3C"/>
    <w:rsid w:val="0011740B"/>
    <w:rsid w:val="001202A5"/>
    <w:rsid w:val="00121029"/>
    <w:rsid w:val="00121695"/>
    <w:rsid w:val="00122D3C"/>
    <w:rsid w:val="00124076"/>
    <w:rsid w:val="001259AE"/>
    <w:rsid w:val="00125EE5"/>
    <w:rsid w:val="001269CC"/>
    <w:rsid w:val="00127098"/>
    <w:rsid w:val="00127A0C"/>
    <w:rsid w:val="0013199D"/>
    <w:rsid w:val="001320CB"/>
    <w:rsid w:val="0013244E"/>
    <w:rsid w:val="00133CD0"/>
    <w:rsid w:val="001349F9"/>
    <w:rsid w:val="00134F86"/>
    <w:rsid w:val="0013629E"/>
    <w:rsid w:val="00136896"/>
    <w:rsid w:val="0013689C"/>
    <w:rsid w:val="00140E36"/>
    <w:rsid w:val="00141B35"/>
    <w:rsid w:val="001434AB"/>
    <w:rsid w:val="001442B6"/>
    <w:rsid w:val="00144384"/>
    <w:rsid w:val="00145CE3"/>
    <w:rsid w:val="001461FD"/>
    <w:rsid w:val="0014722B"/>
    <w:rsid w:val="001472EF"/>
    <w:rsid w:val="001507D2"/>
    <w:rsid w:val="001515CF"/>
    <w:rsid w:val="0015173D"/>
    <w:rsid w:val="001523E7"/>
    <w:rsid w:val="00153436"/>
    <w:rsid w:val="00153C74"/>
    <w:rsid w:val="00155125"/>
    <w:rsid w:val="00157208"/>
    <w:rsid w:val="00157723"/>
    <w:rsid w:val="00157CA4"/>
    <w:rsid w:val="001604F5"/>
    <w:rsid w:val="00161BD9"/>
    <w:rsid w:val="001625DA"/>
    <w:rsid w:val="00165135"/>
    <w:rsid w:val="00165FBE"/>
    <w:rsid w:val="0016670C"/>
    <w:rsid w:val="001679F0"/>
    <w:rsid w:val="00170FCB"/>
    <w:rsid w:val="001712EA"/>
    <w:rsid w:val="00171426"/>
    <w:rsid w:val="00171EDD"/>
    <w:rsid w:val="001722A6"/>
    <w:rsid w:val="001725EA"/>
    <w:rsid w:val="0017273C"/>
    <w:rsid w:val="00174065"/>
    <w:rsid w:val="001743C4"/>
    <w:rsid w:val="00174CA4"/>
    <w:rsid w:val="0017532E"/>
    <w:rsid w:val="00175369"/>
    <w:rsid w:val="00181955"/>
    <w:rsid w:val="0018197A"/>
    <w:rsid w:val="001821F6"/>
    <w:rsid w:val="00183B26"/>
    <w:rsid w:val="00183C4F"/>
    <w:rsid w:val="00184031"/>
    <w:rsid w:val="00186252"/>
    <w:rsid w:val="00187BD8"/>
    <w:rsid w:val="00190FBB"/>
    <w:rsid w:val="00191A44"/>
    <w:rsid w:val="00192297"/>
    <w:rsid w:val="0019257F"/>
    <w:rsid w:val="0019270C"/>
    <w:rsid w:val="00192AA7"/>
    <w:rsid w:val="00194424"/>
    <w:rsid w:val="0019765C"/>
    <w:rsid w:val="001A1A15"/>
    <w:rsid w:val="001A335C"/>
    <w:rsid w:val="001A4A8F"/>
    <w:rsid w:val="001A4B0A"/>
    <w:rsid w:val="001A55B9"/>
    <w:rsid w:val="001A65CF"/>
    <w:rsid w:val="001A76D0"/>
    <w:rsid w:val="001B0683"/>
    <w:rsid w:val="001B0F2D"/>
    <w:rsid w:val="001B107D"/>
    <w:rsid w:val="001B1EC5"/>
    <w:rsid w:val="001B2362"/>
    <w:rsid w:val="001B3A8B"/>
    <w:rsid w:val="001B3BF2"/>
    <w:rsid w:val="001B3E73"/>
    <w:rsid w:val="001B3EA9"/>
    <w:rsid w:val="001B5455"/>
    <w:rsid w:val="001B5FA7"/>
    <w:rsid w:val="001B6A31"/>
    <w:rsid w:val="001B6BB0"/>
    <w:rsid w:val="001C362E"/>
    <w:rsid w:val="001C4EE6"/>
    <w:rsid w:val="001C693D"/>
    <w:rsid w:val="001C72CE"/>
    <w:rsid w:val="001D0536"/>
    <w:rsid w:val="001D0A75"/>
    <w:rsid w:val="001D1187"/>
    <w:rsid w:val="001D1AF1"/>
    <w:rsid w:val="001D1BDC"/>
    <w:rsid w:val="001D29B2"/>
    <w:rsid w:val="001D2DDE"/>
    <w:rsid w:val="001D42EB"/>
    <w:rsid w:val="001D5A29"/>
    <w:rsid w:val="001D7351"/>
    <w:rsid w:val="001D7759"/>
    <w:rsid w:val="001E0613"/>
    <w:rsid w:val="001E1495"/>
    <w:rsid w:val="001E1A8B"/>
    <w:rsid w:val="001E2DA5"/>
    <w:rsid w:val="001E35CB"/>
    <w:rsid w:val="001E3ED9"/>
    <w:rsid w:val="001E57E6"/>
    <w:rsid w:val="001E7337"/>
    <w:rsid w:val="001E736E"/>
    <w:rsid w:val="001F4034"/>
    <w:rsid w:val="001F4641"/>
    <w:rsid w:val="001F484B"/>
    <w:rsid w:val="001F4B7F"/>
    <w:rsid w:val="001F50BB"/>
    <w:rsid w:val="001F5288"/>
    <w:rsid w:val="001F5B8D"/>
    <w:rsid w:val="001F6C6B"/>
    <w:rsid w:val="001F769E"/>
    <w:rsid w:val="00201925"/>
    <w:rsid w:val="002023B9"/>
    <w:rsid w:val="002036DB"/>
    <w:rsid w:val="00203C7E"/>
    <w:rsid w:val="002045AE"/>
    <w:rsid w:val="002045EF"/>
    <w:rsid w:val="0020547F"/>
    <w:rsid w:val="00205E81"/>
    <w:rsid w:val="00205F5D"/>
    <w:rsid w:val="00206B3A"/>
    <w:rsid w:val="00210F25"/>
    <w:rsid w:val="00211E45"/>
    <w:rsid w:val="0021356B"/>
    <w:rsid w:val="00214906"/>
    <w:rsid w:val="0021501D"/>
    <w:rsid w:val="002166D9"/>
    <w:rsid w:val="002172E2"/>
    <w:rsid w:val="00220071"/>
    <w:rsid w:val="002201E2"/>
    <w:rsid w:val="0022076F"/>
    <w:rsid w:val="002217AE"/>
    <w:rsid w:val="00221926"/>
    <w:rsid w:val="002258EE"/>
    <w:rsid w:val="0022623A"/>
    <w:rsid w:val="002264A8"/>
    <w:rsid w:val="002279F2"/>
    <w:rsid w:val="00227B0F"/>
    <w:rsid w:val="002300E7"/>
    <w:rsid w:val="0023055C"/>
    <w:rsid w:val="00230B12"/>
    <w:rsid w:val="00230D9B"/>
    <w:rsid w:val="00230DC5"/>
    <w:rsid w:val="0023328F"/>
    <w:rsid w:val="00233370"/>
    <w:rsid w:val="00233824"/>
    <w:rsid w:val="00233D71"/>
    <w:rsid w:val="00234F88"/>
    <w:rsid w:val="0023502F"/>
    <w:rsid w:val="002366AD"/>
    <w:rsid w:val="00236BF5"/>
    <w:rsid w:val="0023749A"/>
    <w:rsid w:val="002375B7"/>
    <w:rsid w:val="00237C52"/>
    <w:rsid w:val="00243E94"/>
    <w:rsid w:val="002463CE"/>
    <w:rsid w:val="00246EE0"/>
    <w:rsid w:val="00247ED7"/>
    <w:rsid w:val="00250C22"/>
    <w:rsid w:val="00251728"/>
    <w:rsid w:val="00251817"/>
    <w:rsid w:val="00251FBC"/>
    <w:rsid w:val="00251FCA"/>
    <w:rsid w:val="002521E3"/>
    <w:rsid w:val="00254D01"/>
    <w:rsid w:val="00254F73"/>
    <w:rsid w:val="0025515A"/>
    <w:rsid w:val="002554A0"/>
    <w:rsid w:val="00255A17"/>
    <w:rsid w:val="00255B7A"/>
    <w:rsid w:val="00256F36"/>
    <w:rsid w:val="002570B4"/>
    <w:rsid w:val="00257140"/>
    <w:rsid w:val="00257998"/>
    <w:rsid w:val="00260301"/>
    <w:rsid w:val="00260A6A"/>
    <w:rsid w:val="00260B43"/>
    <w:rsid w:val="00260ED0"/>
    <w:rsid w:val="00263149"/>
    <w:rsid w:val="00263E38"/>
    <w:rsid w:val="00265745"/>
    <w:rsid w:val="002669E2"/>
    <w:rsid w:val="002671A3"/>
    <w:rsid w:val="00267679"/>
    <w:rsid w:val="002678AE"/>
    <w:rsid w:val="00267CE5"/>
    <w:rsid w:val="0027046F"/>
    <w:rsid w:val="002706E2"/>
    <w:rsid w:val="00270958"/>
    <w:rsid w:val="00270C94"/>
    <w:rsid w:val="00271206"/>
    <w:rsid w:val="00272846"/>
    <w:rsid w:val="00272C44"/>
    <w:rsid w:val="002738A3"/>
    <w:rsid w:val="00273E82"/>
    <w:rsid w:val="00275FB1"/>
    <w:rsid w:val="0027630D"/>
    <w:rsid w:val="002763F4"/>
    <w:rsid w:val="00277233"/>
    <w:rsid w:val="0027758B"/>
    <w:rsid w:val="00277D5E"/>
    <w:rsid w:val="00277DD9"/>
    <w:rsid w:val="0028112E"/>
    <w:rsid w:val="002814D4"/>
    <w:rsid w:val="002815EF"/>
    <w:rsid w:val="00282CC9"/>
    <w:rsid w:val="00284EC9"/>
    <w:rsid w:val="00287397"/>
    <w:rsid w:val="00290457"/>
    <w:rsid w:val="00291021"/>
    <w:rsid w:val="00291B90"/>
    <w:rsid w:val="00293282"/>
    <w:rsid w:val="00295A6D"/>
    <w:rsid w:val="002A121B"/>
    <w:rsid w:val="002A1A50"/>
    <w:rsid w:val="002A21F5"/>
    <w:rsid w:val="002A2664"/>
    <w:rsid w:val="002A33D7"/>
    <w:rsid w:val="002A4286"/>
    <w:rsid w:val="002A57A8"/>
    <w:rsid w:val="002A752A"/>
    <w:rsid w:val="002A7A98"/>
    <w:rsid w:val="002B2552"/>
    <w:rsid w:val="002B310A"/>
    <w:rsid w:val="002B4730"/>
    <w:rsid w:val="002B7778"/>
    <w:rsid w:val="002C1850"/>
    <w:rsid w:val="002C1AA9"/>
    <w:rsid w:val="002C1ABC"/>
    <w:rsid w:val="002C1F91"/>
    <w:rsid w:val="002C22FB"/>
    <w:rsid w:val="002C3284"/>
    <w:rsid w:val="002D0F33"/>
    <w:rsid w:val="002D121D"/>
    <w:rsid w:val="002D1BB2"/>
    <w:rsid w:val="002D29DB"/>
    <w:rsid w:val="002D2A56"/>
    <w:rsid w:val="002D3D85"/>
    <w:rsid w:val="002D77FA"/>
    <w:rsid w:val="002E0281"/>
    <w:rsid w:val="002E0727"/>
    <w:rsid w:val="002E092B"/>
    <w:rsid w:val="002E0BBB"/>
    <w:rsid w:val="002E0FDC"/>
    <w:rsid w:val="002E1E25"/>
    <w:rsid w:val="002E1F47"/>
    <w:rsid w:val="002E3627"/>
    <w:rsid w:val="002E3A4C"/>
    <w:rsid w:val="002E4486"/>
    <w:rsid w:val="002E59F7"/>
    <w:rsid w:val="002E6674"/>
    <w:rsid w:val="002E73F1"/>
    <w:rsid w:val="002E74B5"/>
    <w:rsid w:val="002E7582"/>
    <w:rsid w:val="002F0620"/>
    <w:rsid w:val="002F0D2E"/>
    <w:rsid w:val="002F15AA"/>
    <w:rsid w:val="002F1A2F"/>
    <w:rsid w:val="002F1AF8"/>
    <w:rsid w:val="002F36C6"/>
    <w:rsid w:val="002F4680"/>
    <w:rsid w:val="002F49BE"/>
    <w:rsid w:val="002F4A9F"/>
    <w:rsid w:val="002F4ECA"/>
    <w:rsid w:val="002F5EB0"/>
    <w:rsid w:val="002F6182"/>
    <w:rsid w:val="002F754B"/>
    <w:rsid w:val="00303198"/>
    <w:rsid w:val="003038BE"/>
    <w:rsid w:val="00303C42"/>
    <w:rsid w:val="00303D7C"/>
    <w:rsid w:val="003042C4"/>
    <w:rsid w:val="00304B3D"/>
    <w:rsid w:val="00306D6D"/>
    <w:rsid w:val="00307AD4"/>
    <w:rsid w:val="003106A6"/>
    <w:rsid w:val="00310EB4"/>
    <w:rsid w:val="00311394"/>
    <w:rsid w:val="003142AB"/>
    <w:rsid w:val="00315797"/>
    <w:rsid w:val="00323132"/>
    <w:rsid w:val="00323A6B"/>
    <w:rsid w:val="00324C9F"/>
    <w:rsid w:val="00325F30"/>
    <w:rsid w:val="00325FC2"/>
    <w:rsid w:val="0032679F"/>
    <w:rsid w:val="003270E3"/>
    <w:rsid w:val="00327E1E"/>
    <w:rsid w:val="00332621"/>
    <w:rsid w:val="0033327F"/>
    <w:rsid w:val="00333475"/>
    <w:rsid w:val="0033386D"/>
    <w:rsid w:val="00333F78"/>
    <w:rsid w:val="00334AC8"/>
    <w:rsid w:val="00336C5E"/>
    <w:rsid w:val="00336CBD"/>
    <w:rsid w:val="00337FA3"/>
    <w:rsid w:val="00340F60"/>
    <w:rsid w:val="0034184E"/>
    <w:rsid w:val="00341E16"/>
    <w:rsid w:val="00341E2B"/>
    <w:rsid w:val="00344609"/>
    <w:rsid w:val="00344C79"/>
    <w:rsid w:val="00345206"/>
    <w:rsid w:val="00347CC4"/>
    <w:rsid w:val="00350437"/>
    <w:rsid w:val="00350474"/>
    <w:rsid w:val="00351B91"/>
    <w:rsid w:val="00351DE9"/>
    <w:rsid w:val="00353649"/>
    <w:rsid w:val="00354172"/>
    <w:rsid w:val="00354736"/>
    <w:rsid w:val="003549EC"/>
    <w:rsid w:val="00354EED"/>
    <w:rsid w:val="00355C4F"/>
    <w:rsid w:val="00356917"/>
    <w:rsid w:val="0036057F"/>
    <w:rsid w:val="00360ABD"/>
    <w:rsid w:val="0036109E"/>
    <w:rsid w:val="003611FD"/>
    <w:rsid w:val="00362566"/>
    <w:rsid w:val="00362BFB"/>
    <w:rsid w:val="00362C93"/>
    <w:rsid w:val="00362F91"/>
    <w:rsid w:val="00363938"/>
    <w:rsid w:val="00363F72"/>
    <w:rsid w:val="00364D45"/>
    <w:rsid w:val="00365D3E"/>
    <w:rsid w:val="003660AE"/>
    <w:rsid w:val="003667B1"/>
    <w:rsid w:val="00366BFA"/>
    <w:rsid w:val="00366F1F"/>
    <w:rsid w:val="0036753A"/>
    <w:rsid w:val="003728B9"/>
    <w:rsid w:val="00374FB1"/>
    <w:rsid w:val="00375328"/>
    <w:rsid w:val="00376325"/>
    <w:rsid w:val="00376EB4"/>
    <w:rsid w:val="00377916"/>
    <w:rsid w:val="0038095F"/>
    <w:rsid w:val="00380A50"/>
    <w:rsid w:val="00380D54"/>
    <w:rsid w:val="00382CD3"/>
    <w:rsid w:val="00382E29"/>
    <w:rsid w:val="00383474"/>
    <w:rsid w:val="003844E3"/>
    <w:rsid w:val="00386337"/>
    <w:rsid w:val="0038641C"/>
    <w:rsid w:val="00386CA0"/>
    <w:rsid w:val="00387E5A"/>
    <w:rsid w:val="0039037E"/>
    <w:rsid w:val="00390953"/>
    <w:rsid w:val="00390DBB"/>
    <w:rsid w:val="00391CC7"/>
    <w:rsid w:val="00391FDA"/>
    <w:rsid w:val="003920BD"/>
    <w:rsid w:val="00394BF7"/>
    <w:rsid w:val="00396673"/>
    <w:rsid w:val="003A0E8D"/>
    <w:rsid w:val="003A19A6"/>
    <w:rsid w:val="003A1EA8"/>
    <w:rsid w:val="003A1F07"/>
    <w:rsid w:val="003A21BE"/>
    <w:rsid w:val="003A387F"/>
    <w:rsid w:val="003A41FA"/>
    <w:rsid w:val="003A5C0D"/>
    <w:rsid w:val="003A7841"/>
    <w:rsid w:val="003B1A15"/>
    <w:rsid w:val="003B2B0F"/>
    <w:rsid w:val="003B370D"/>
    <w:rsid w:val="003B41CD"/>
    <w:rsid w:val="003B5E1D"/>
    <w:rsid w:val="003B611B"/>
    <w:rsid w:val="003B6B9C"/>
    <w:rsid w:val="003C07BF"/>
    <w:rsid w:val="003C2B1D"/>
    <w:rsid w:val="003C2E0E"/>
    <w:rsid w:val="003C30C8"/>
    <w:rsid w:val="003C33EF"/>
    <w:rsid w:val="003C450D"/>
    <w:rsid w:val="003C4920"/>
    <w:rsid w:val="003C4ED5"/>
    <w:rsid w:val="003C6ED8"/>
    <w:rsid w:val="003C77CF"/>
    <w:rsid w:val="003D007D"/>
    <w:rsid w:val="003D03ED"/>
    <w:rsid w:val="003D04CD"/>
    <w:rsid w:val="003D0E38"/>
    <w:rsid w:val="003D43F5"/>
    <w:rsid w:val="003D5ACB"/>
    <w:rsid w:val="003E0B16"/>
    <w:rsid w:val="003E1BE7"/>
    <w:rsid w:val="003E366D"/>
    <w:rsid w:val="003E5B78"/>
    <w:rsid w:val="003E5BD8"/>
    <w:rsid w:val="003E62BE"/>
    <w:rsid w:val="003F10B6"/>
    <w:rsid w:val="003F1A56"/>
    <w:rsid w:val="003F3C03"/>
    <w:rsid w:val="003F3C42"/>
    <w:rsid w:val="003F50CE"/>
    <w:rsid w:val="003F5CEA"/>
    <w:rsid w:val="003F6685"/>
    <w:rsid w:val="003F78D2"/>
    <w:rsid w:val="00400BD6"/>
    <w:rsid w:val="004018DA"/>
    <w:rsid w:val="00402551"/>
    <w:rsid w:val="00403E80"/>
    <w:rsid w:val="004040F1"/>
    <w:rsid w:val="0040601B"/>
    <w:rsid w:val="004064DD"/>
    <w:rsid w:val="00407630"/>
    <w:rsid w:val="00407D67"/>
    <w:rsid w:val="00411866"/>
    <w:rsid w:val="00412777"/>
    <w:rsid w:val="00412ED6"/>
    <w:rsid w:val="00413897"/>
    <w:rsid w:val="00413E0F"/>
    <w:rsid w:val="00414A5D"/>
    <w:rsid w:val="004152E3"/>
    <w:rsid w:val="0041543E"/>
    <w:rsid w:val="00415E5C"/>
    <w:rsid w:val="00416A7C"/>
    <w:rsid w:val="00416E1B"/>
    <w:rsid w:val="00417794"/>
    <w:rsid w:val="004223D0"/>
    <w:rsid w:val="004225D9"/>
    <w:rsid w:val="00422843"/>
    <w:rsid w:val="00422FC0"/>
    <w:rsid w:val="00423D0B"/>
    <w:rsid w:val="004246B6"/>
    <w:rsid w:val="00425458"/>
    <w:rsid w:val="00425479"/>
    <w:rsid w:val="0042697E"/>
    <w:rsid w:val="004275EA"/>
    <w:rsid w:val="00427AC6"/>
    <w:rsid w:val="00431272"/>
    <w:rsid w:val="004331F6"/>
    <w:rsid w:val="00436E35"/>
    <w:rsid w:val="00437146"/>
    <w:rsid w:val="00441AF0"/>
    <w:rsid w:val="0044294F"/>
    <w:rsid w:val="00443046"/>
    <w:rsid w:val="00443DEE"/>
    <w:rsid w:val="00444A0C"/>
    <w:rsid w:val="0044502E"/>
    <w:rsid w:val="0044685F"/>
    <w:rsid w:val="00446E41"/>
    <w:rsid w:val="004475A2"/>
    <w:rsid w:val="00447B07"/>
    <w:rsid w:val="004509FD"/>
    <w:rsid w:val="00451215"/>
    <w:rsid w:val="00451A72"/>
    <w:rsid w:val="004537D4"/>
    <w:rsid w:val="00453941"/>
    <w:rsid w:val="00453A26"/>
    <w:rsid w:val="00453B59"/>
    <w:rsid w:val="00454388"/>
    <w:rsid w:val="00454598"/>
    <w:rsid w:val="00460A26"/>
    <w:rsid w:val="004612D5"/>
    <w:rsid w:val="004612E2"/>
    <w:rsid w:val="004615A5"/>
    <w:rsid w:val="00461964"/>
    <w:rsid w:val="00463967"/>
    <w:rsid w:val="00464956"/>
    <w:rsid w:val="00465531"/>
    <w:rsid w:val="004657C0"/>
    <w:rsid w:val="0046762E"/>
    <w:rsid w:val="00470863"/>
    <w:rsid w:val="00472C5E"/>
    <w:rsid w:val="0047356E"/>
    <w:rsid w:val="00474662"/>
    <w:rsid w:val="00475ADF"/>
    <w:rsid w:val="004767C8"/>
    <w:rsid w:val="004770A8"/>
    <w:rsid w:val="004777C7"/>
    <w:rsid w:val="004803F1"/>
    <w:rsid w:val="00480BEE"/>
    <w:rsid w:val="00481CAC"/>
    <w:rsid w:val="004820D2"/>
    <w:rsid w:val="00482D7F"/>
    <w:rsid w:val="004830F9"/>
    <w:rsid w:val="00484B23"/>
    <w:rsid w:val="0048545A"/>
    <w:rsid w:val="004867FA"/>
    <w:rsid w:val="00490696"/>
    <w:rsid w:val="00490E28"/>
    <w:rsid w:val="00490F63"/>
    <w:rsid w:val="004918FA"/>
    <w:rsid w:val="00493832"/>
    <w:rsid w:val="0049637C"/>
    <w:rsid w:val="0049684A"/>
    <w:rsid w:val="00496B0E"/>
    <w:rsid w:val="00496FCA"/>
    <w:rsid w:val="004A1A66"/>
    <w:rsid w:val="004A1EC7"/>
    <w:rsid w:val="004A23AB"/>
    <w:rsid w:val="004A2405"/>
    <w:rsid w:val="004A2BE1"/>
    <w:rsid w:val="004A30EC"/>
    <w:rsid w:val="004A3CEE"/>
    <w:rsid w:val="004A64D3"/>
    <w:rsid w:val="004B12B4"/>
    <w:rsid w:val="004B1A79"/>
    <w:rsid w:val="004B3DA1"/>
    <w:rsid w:val="004B3DBA"/>
    <w:rsid w:val="004B4465"/>
    <w:rsid w:val="004B5353"/>
    <w:rsid w:val="004B6DA3"/>
    <w:rsid w:val="004C1E89"/>
    <w:rsid w:val="004C311A"/>
    <w:rsid w:val="004C33F2"/>
    <w:rsid w:val="004C4AC9"/>
    <w:rsid w:val="004C7621"/>
    <w:rsid w:val="004C7AAF"/>
    <w:rsid w:val="004D17BB"/>
    <w:rsid w:val="004D3372"/>
    <w:rsid w:val="004D5EE2"/>
    <w:rsid w:val="004D62F1"/>
    <w:rsid w:val="004D69EB"/>
    <w:rsid w:val="004D7272"/>
    <w:rsid w:val="004D774C"/>
    <w:rsid w:val="004E09BD"/>
    <w:rsid w:val="004E0B5C"/>
    <w:rsid w:val="004E1335"/>
    <w:rsid w:val="004E2DA2"/>
    <w:rsid w:val="004E4B9B"/>
    <w:rsid w:val="004E687F"/>
    <w:rsid w:val="004E79CC"/>
    <w:rsid w:val="004F24A5"/>
    <w:rsid w:val="004F2D52"/>
    <w:rsid w:val="004F4C5F"/>
    <w:rsid w:val="00502F10"/>
    <w:rsid w:val="00505681"/>
    <w:rsid w:val="00505B6D"/>
    <w:rsid w:val="005065FE"/>
    <w:rsid w:val="00506C3E"/>
    <w:rsid w:val="005079AA"/>
    <w:rsid w:val="00507DB4"/>
    <w:rsid w:val="00511197"/>
    <w:rsid w:val="005113EC"/>
    <w:rsid w:val="005153EE"/>
    <w:rsid w:val="0051633B"/>
    <w:rsid w:val="005177BC"/>
    <w:rsid w:val="00517D6D"/>
    <w:rsid w:val="00517F13"/>
    <w:rsid w:val="00520F46"/>
    <w:rsid w:val="005211A8"/>
    <w:rsid w:val="005217BB"/>
    <w:rsid w:val="005228E4"/>
    <w:rsid w:val="0052333E"/>
    <w:rsid w:val="00523911"/>
    <w:rsid w:val="005259FC"/>
    <w:rsid w:val="00527212"/>
    <w:rsid w:val="00530CA5"/>
    <w:rsid w:val="00533368"/>
    <w:rsid w:val="005334C8"/>
    <w:rsid w:val="00533535"/>
    <w:rsid w:val="00533E35"/>
    <w:rsid w:val="0053468B"/>
    <w:rsid w:val="005364F2"/>
    <w:rsid w:val="00536FAD"/>
    <w:rsid w:val="00536FE6"/>
    <w:rsid w:val="005375F3"/>
    <w:rsid w:val="00540623"/>
    <w:rsid w:val="005408D5"/>
    <w:rsid w:val="00543561"/>
    <w:rsid w:val="00543ADF"/>
    <w:rsid w:val="005450EF"/>
    <w:rsid w:val="00545BF0"/>
    <w:rsid w:val="005463C8"/>
    <w:rsid w:val="00547BC3"/>
    <w:rsid w:val="005506E8"/>
    <w:rsid w:val="00554EF8"/>
    <w:rsid w:val="00555179"/>
    <w:rsid w:val="00555896"/>
    <w:rsid w:val="00556BBF"/>
    <w:rsid w:val="00557B32"/>
    <w:rsid w:val="0056116A"/>
    <w:rsid w:val="00561C97"/>
    <w:rsid w:val="0056309D"/>
    <w:rsid w:val="005635C7"/>
    <w:rsid w:val="00566E85"/>
    <w:rsid w:val="00571121"/>
    <w:rsid w:val="00571DE0"/>
    <w:rsid w:val="00572F24"/>
    <w:rsid w:val="00573DD3"/>
    <w:rsid w:val="005749A7"/>
    <w:rsid w:val="00574AB4"/>
    <w:rsid w:val="00575BD8"/>
    <w:rsid w:val="00575C7D"/>
    <w:rsid w:val="00576E47"/>
    <w:rsid w:val="00576EB9"/>
    <w:rsid w:val="00577052"/>
    <w:rsid w:val="00580ACE"/>
    <w:rsid w:val="00581365"/>
    <w:rsid w:val="0058182F"/>
    <w:rsid w:val="005849F8"/>
    <w:rsid w:val="00585166"/>
    <w:rsid w:val="00585343"/>
    <w:rsid w:val="0058735E"/>
    <w:rsid w:val="00587B6B"/>
    <w:rsid w:val="005911F0"/>
    <w:rsid w:val="0059207B"/>
    <w:rsid w:val="005925DB"/>
    <w:rsid w:val="005927B2"/>
    <w:rsid w:val="00592BE8"/>
    <w:rsid w:val="00593546"/>
    <w:rsid w:val="005939E2"/>
    <w:rsid w:val="00593B9E"/>
    <w:rsid w:val="005958F4"/>
    <w:rsid w:val="00595FB5"/>
    <w:rsid w:val="00596E0F"/>
    <w:rsid w:val="005A0259"/>
    <w:rsid w:val="005A0BD4"/>
    <w:rsid w:val="005A0CAF"/>
    <w:rsid w:val="005A29DA"/>
    <w:rsid w:val="005A2EAE"/>
    <w:rsid w:val="005A3852"/>
    <w:rsid w:val="005A430B"/>
    <w:rsid w:val="005B04D9"/>
    <w:rsid w:val="005B2339"/>
    <w:rsid w:val="005B2962"/>
    <w:rsid w:val="005B415E"/>
    <w:rsid w:val="005B4613"/>
    <w:rsid w:val="005B4677"/>
    <w:rsid w:val="005B5822"/>
    <w:rsid w:val="005B63EA"/>
    <w:rsid w:val="005B6585"/>
    <w:rsid w:val="005B6602"/>
    <w:rsid w:val="005B680A"/>
    <w:rsid w:val="005B7557"/>
    <w:rsid w:val="005C1FE7"/>
    <w:rsid w:val="005C2B12"/>
    <w:rsid w:val="005C4C6F"/>
    <w:rsid w:val="005C7879"/>
    <w:rsid w:val="005D0196"/>
    <w:rsid w:val="005D2E10"/>
    <w:rsid w:val="005D5DD1"/>
    <w:rsid w:val="005D704B"/>
    <w:rsid w:val="005D7DBD"/>
    <w:rsid w:val="005E11F0"/>
    <w:rsid w:val="005E1553"/>
    <w:rsid w:val="005E2A1A"/>
    <w:rsid w:val="005E2FA3"/>
    <w:rsid w:val="005E3149"/>
    <w:rsid w:val="005E330A"/>
    <w:rsid w:val="005E3F6D"/>
    <w:rsid w:val="005E6081"/>
    <w:rsid w:val="005F01A3"/>
    <w:rsid w:val="005F098E"/>
    <w:rsid w:val="005F325B"/>
    <w:rsid w:val="005F3A2C"/>
    <w:rsid w:val="005F3C6B"/>
    <w:rsid w:val="005F46C6"/>
    <w:rsid w:val="005F65AB"/>
    <w:rsid w:val="005F6F6B"/>
    <w:rsid w:val="00600344"/>
    <w:rsid w:val="00600B31"/>
    <w:rsid w:val="00602F7D"/>
    <w:rsid w:val="00602F8E"/>
    <w:rsid w:val="0060303A"/>
    <w:rsid w:val="00603DFE"/>
    <w:rsid w:val="00604FD6"/>
    <w:rsid w:val="00605C05"/>
    <w:rsid w:val="00606D24"/>
    <w:rsid w:val="00611CCB"/>
    <w:rsid w:val="006124C5"/>
    <w:rsid w:val="0061379F"/>
    <w:rsid w:val="00614164"/>
    <w:rsid w:val="00614D2C"/>
    <w:rsid w:val="0062090A"/>
    <w:rsid w:val="0062129D"/>
    <w:rsid w:val="00622DE1"/>
    <w:rsid w:val="0062465C"/>
    <w:rsid w:val="00624726"/>
    <w:rsid w:val="006254FA"/>
    <w:rsid w:val="006265D4"/>
    <w:rsid w:val="00627ECF"/>
    <w:rsid w:val="0063177E"/>
    <w:rsid w:val="00631CF4"/>
    <w:rsid w:val="00632895"/>
    <w:rsid w:val="00633077"/>
    <w:rsid w:val="0063310B"/>
    <w:rsid w:val="006337E6"/>
    <w:rsid w:val="006346D5"/>
    <w:rsid w:val="00634779"/>
    <w:rsid w:val="006367E9"/>
    <w:rsid w:val="006410B9"/>
    <w:rsid w:val="006421DB"/>
    <w:rsid w:val="00642776"/>
    <w:rsid w:val="0064318F"/>
    <w:rsid w:val="00645942"/>
    <w:rsid w:val="00645DC4"/>
    <w:rsid w:val="00645F8C"/>
    <w:rsid w:val="0065268C"/>
    <w:rsid w:val="00652F21"/>
    <w:rsid w:val="00652F9B"/>
    <w:rsid w:val="00653177"/>
    <w:rsid w:val="006565FF"/>
    <w:rsid w:val="006572B0"/>
    <w:rsid w:val="00657509"/>
    <w:rsid w:val="00660A08"/>
    <w:rsid w:val="00661521"/>
    <w:rsid w:val="0066168C"/>
    <w:rsid w:val="0066389A"/>
    <w:rsid w:val="00663C84"/>
    <w:rsid w:val="00665B41"/>
    <w:rsid w:val="0066687A"/>
    <w:rsid w:val="006672D1"/>
    <w:rsid w:val="00667773"/>
    <w:rsid w:val="0067059F"/>
    <w:rsid w:val="00670BCC"/>
    <w:rsid w:val="00672ADB"/>
    <w:rsid w:val="00673754"/>
    <w:rsid w:val="006743B1"/>
    <w:rsid w:val="00675BDF"/>
    <w:rsid w:val="0067764D"/>
    <w:rsid w:val="00677D4E"/>
    <w:rsid w:val="00680378"/>
    <w:rsid w:val="00681061"/>
    <w:rsid w:val="00682CF6"/>
    <w:rsid w:val="00683134"/>
    <w:rsid w:val="00683B03"/>
    <w:rsid w:val="006840F3"/>
    <w:rsid w:val="00684FD3"/>
    <w:rsid w:val="00690897"/>
    <w:rsid w:val="00691412"/>
    <w:rsid w:val="006914CF"/>
    <w:rsid w:val="0069192C"/>
    <w:rsid w:val="0069340E"/>
    <w:rsid w:val="0069417B"/>
    <w:rsid w:val="006944F9"/>
    <w:rsid w:val="00694A14"/>
    <w:rsid w:val="0069573F"/>
    <w:rsid w:val="006963A7"/>
    <w:rsid w:val="006A35C0"/>
    <w:rsid w:val="006A3B17"/>
    <w:rsid w:val="006A3F49"/>
    <w:rsid w:val="006A3FE9"/>
    <w:rsid w:val="006A4A72"/>
    <w:rsid w:val="006A5467"/>
    <w:rsid w:val="006A58E4"/>
    <w:rsid w:val="006A646A"/>
    <w:rsid w:val="006A6BA3"/>
    <w:rsid w:val="006A6E20"/>
    <w:rsid w:val="006A72BB"/>
    <w:rsid w:val="006A7360"/>
    <w:rsid w:val="006B0015"/>
    <w:rsid w:val="006B17C9"/>
    <w:rsid w:val="006B1A0F"/>
    <w:rsid w:val="006B2781"/>
    <w:rsid w:val="006B2B3D"/>
    <w:rsid w:val="006B2B5A"/>
    <w:rsid w:val="006B3057"/>
    <w:rsid w:val="006B55E1"/>
    <w:rsid w:val="006B57C4"/>
    <w:rsid w:val="006B5B61"/>
    <w:rsid w:val="006B63EC"/>
    <w:rsid w:val="006B6B24"/>
    <w:rsid w:val="006C2F6F"/>
    <w:rsid w:val="006C3D6B"/>
    <w:rsid w:val="006C418E"/>
    <w:rsid w:val="006C4DBB"/>
    <w:rsid w:val="006C5CFC"/>
    <w:rsid w:val="006C6692"/>
    <w:rsid w:val="006C681B"/>
    <w:rsid w:val="006D1A9F"/>
    <w:rsid w:val="006D2D73"/>
    <w:rsid w:val="006D33FE"/>
    <w:rsid w:val="006D40D0"/>
    <w:rsid w:val="006D5AF6"/>
    <w:rsid w:val="006D6A52"/>
    <w:rsid w:val="006D704E"/>
    <w:rsid w:val="006E066A"/>
    <w:rsid w:val="006E0A6F"/>
    <w:rsid w:val="006E23B4"/>
    <w:rsid w:val="006E3ACF"/>
    <w:rsid w:val="006E6580"/>
    <w:rsid w:val="006F1135"/>
    <w:rsid w:val="006F1D22"/>
    <w:rsid w:val="006F42D5"/>
    <w:rsid w:val="006F470C"/>
    <w:rsid w:val="006F6FB9"/>
    <w:rsid w:val="00701D8B"/>
    <w:rsid w:val="0070293E"/>
    <w:rsid w:val="00702F18"/>
    <w:rsid w:val="00703446"/>
    <w:rsid w:val="00703775"/>
    <w:rsid w:val="007038A2"/>
    <w:rsid w:val="00707224"/>
    <w:rsid w:val="0070735A"/>
    <w:rsid w:val="0070772A"/>
    <w:rsid w:val="00707FAA"/>
    <w:rsid w:val="0071132B"/>
    <w:rsid w:val="00712D24"/>
    <w:rsid w:val="00712E7E"/>
    <w:rsid w:val="00712FD5"/>
    <w:rsid w:val="00713361"/>
    <w:rsid w:val="00713854"/>
    <w:rsid w:val="007139FB"/>
    <w:rsid w:val="00714036"/>
    <w:rsid w:val="007141FD"/>
    <w:rsid w:val="00714D01"/>
    <w:rsid w:val="00716D5D"/>
    <w:rsid w:val="007179EF"/>
    <w:rsid w:val="007208F4"/>
    <w:rsid w:val="007217EE"/>
    <w:rsid w:val="00722666"/>
    <w:rsid w:val="007236A0"/>
    <w:rsid w:val="007239EB"/>
    <w:rsid w:val="00723B94"/>
    <w:rsid w:val="00723F88"/>
    <w:rsid w:val="0072406F"/>
    <w:rsid w:val="0072444E"/>
    <w:rsid w:val="00725B00"/>
    <w:rsid w:val="00727251"/>
    <w:rsid w:val="00732530"/>
    <w:rsid w:val="0073274C"/>
    <w:rsid w:val="00732DA3"/>
    <w:rsid w:val="00732F70"/>
    <w:rsid w:val="007345BE"/>
    <w:rsid w:val="0073479C"/>
    <w:rsid w:val="00737119"/>
    <w:rsid w:val="00737555"/>
    <w:rsid w:val="00737748"/>
    <w:rsid w:val="00741087"/>
    <w:rsid w:val="00741F94"/>
    <w:rsid w:val="00742191"/>
    <w:rsid w:val="00742371"/>
    <w:rsid w:val="00742E8B"/>
    <w:rsid w:val="00742F52"/>
    <w:rsid w:val="00745BE6"/>
    <w:rsid w:val="007466C2"/>
    <w:rsid w:val="00747D21"/>
    <w:rsid w:val="007520D6"/>
    <w:rsid w:val="007532A8"/>
    <w:rsid w:val="007548DE"/>
    <w:rsid w:val="00757D98"/>
    <w:rsid w:val="0076114E"/>
    <w:rsid w:val="007611AF"/>
    <w:rsid w:val="007620CF"/>
    <w:rsid w:val="007646B5"/>
    <w:rsid w:val="00765FA0"/>
    <w:rsid w:val="007660BE"/>
    <w:rsid w:val="00767491"/>
    <w:rsid w:val="00771A80"/>
    <w:rsid w:val="007723BD"/>
    <w:rsid w:val="0077247D"/>
    <w:rsid w:val="0077270E"/>
    <w:rsid w:val="00773574"/>
    <w:rsid w:val="00774781"/>
    <w:rsid w:val="00780E27"/>
    <w:rsid w:val="00782E65"/>
    <w:rsid w:val="00782FD8"/>
    <w:rsid w:val="00783B29"/>
    <w:rsid w:val="0078687A"/>
    <w:rsid w:val="0078793D"/>
    <w:rsid w:val="00787C4C"/>
    <w:rsid w:val="00792789"/>
    <w:rsid w:val="0079413F"/>
    <w:rsid w:val="007947DA"/>
    <w:rsid w:val="0079602E"/>
    <w:rsid w:val="00796053"/>
    <w:rsid w:val="00796331"/>
    <w:rsid w:val="0079643D"/>
    <w:rsid w:val="007972CD"/>
    <w:rsid w:val="007A02FA"/>
    <w:rsid w:val="007A14D5"/>
    <w:rsid w:val="007A1C6C"/>
    <w:rsid w:val="007A1F18"/>
    <w:rsid w:val="007A2108"/>
    <w:rsid w:val="007A2B2B"/>
    <w:rsid w:val="007A3C88"/>
    <w:rsid w:val="007A4BA2"/>
    <w:rsid w:val="007A4D13"/>
    <w:rsid w:val="007B0035"/>
    <w:rsid w:val="007B7564"/>
    <w:rsid w:val="007B7A06"/>
    <w:rsid w:val="007C0870"/>
    <w:rsid w:val="007C277D"/>
    <w:rsid w:val="007C43C1"/>
    <w:rsid w:val="007C4585"/>
    <w:rsid w:val="007C45C4"/>
    <w:rsid w:val="007C508A"/>
    <w:rsid w:val="007C52ED"/>
    <w:rsid w:val="007C6E45"/>
    <w:rsid w:val="007C7016"/>
    <w:rsid w:val="007D0C56"/>
    <w:rsid w:val="007D0ED9"/>
    <w:rsid w:val="007D4532"/>
    <w:rsid w:val="007D6224"/>
    <w:rsid w:val="007D6381"/>
    <w:rsid w:val="007D6809"/>
    <w:rsid w:val="007D7A42"/>
    <w:rsid w:val="007D7EC6"/>
    <w:rsid w:val="007E10F8"/>
    <w:rsid w:val="007E13A3"/>
    <w:rsid w:val="007E1897"/>
    <w:rsid w:val="007E217A"/>
    <w:rsid w:val="007E292E"/>
    <w:rsid w:val="007E3251"/>
    <w:rsid w:val="007E429F"/>
    <w:rsid w:val="007E4916"/>
    <w:rsid w:val="007E515C"/>
    <w:rsid w:val="007E6B45"/>
    <w:rsid w:val="007F1D35"/>
    <w:rsid w:val="007F62CA"/>
    <w:rsid w:val="007F63BB"/>
    <w:rsid w:val="007F7900"/>
    <w:rsid w:val="008022CC"/>
    <w:rsid w:val="00803837"/>
    <w:rsid w:val="008044BC"/>
    <w:rsid w:val="00804500"/>
    <w:rsid w:val="00805C56"/>
    <w:rsid w:val="0080639E"/>
    <w:rsid w:val="008063CC"/>
    <w:rsid w:val="00806B98"/>
    <w:rsid w:val="00807B58"/>
    <w:rsid w:val="0081042D"/>
    <w:rsid w:val="008120FB"/>
    <w:rsid w:val="00812BC6"/>
    <w:rsid w:val="00813292"/>
    <w:rsid w:val="00813A71"/>
    <w:rsid w:val="0081459F"/>
    <w:rsid w:val="00814AE1"/>
    <w:rsid w:val="008155B0"/>
    <w:rsid w:val="0081595E"/>
    <w:rsid w:val="00815ABE"/>
    <w:rsid w:val="0081696D"/>
    <w:rsid w:val="00816E57"/>
    <w:rsid w:val="00820AA1"/>
    <w:rsid w:val="008219A9"/>
    <w:rsid w:val="00822B46"/>
    <w:rsid w:val="008300A9"/>
    <w:rsid w:val="0083071E"/>
    <w:rsid w:val="00830BB7"/>
    <w:rsid w:val="00831059"/>
    <w:rsid w:val="008328DB"/>
    <w:rsid w:val="00832DC6"/>
    <w:rsid w:val="008334D1"/>
    <w:rsid w:val="008336C2"/>
    <w:rsid w:val="0083399E"/>
    <w:rsid w:val="00834C6D"/>
    <w:rsid w:val="00834F94"/>
    <w:rsid w:val="008371A3"/>
    <w:rsid w:val="0083787F"/>
    <w:rsid w:val="00840160"/>
    <w:rsid w:val="00840905"/>
    <w:rsid w:val="008412F0"/>
    <w:rsid w:val="0084257D"/>
    <w:rsid w:val="008437F1"/>
    <w:rsid w:val="00843959"/>
    <w:rsid w:val="0084468B"/>
    <w:rsid w:val="00844E24"/>
    <w:rsid w:val="00845F89"/>
    <w:rsid w:val="00846DB0"/>
    <w:rsid w:val="00850219"/>
    <w:rsid w:val="008507BD"/>
    <w:rsid w:val="00852C9F"/>
    <w:rsid w:val="008535C5"/>
    <w:rsid w:val="008538AA"/>
    <w:rsid w:val="0085452D"/>
    <w:rsid w:val="008567ED"/>
    <w:rsid w:val="00856DAF"/>
    <w:rsid w:val="008600C4"/>
    <w:rsid w:val="00861043"/>
    <w:rsid w:val="00861D3C"/>
    <w:rsid w:val="00861F3E"/>
    <w:rsid w:val="008636DE"/>
    <w:rsid w:val="008638B2"/>
    <w:rsid w:val="00863FFB"/>
    <w:rsid w:val="00864715"/>
    <w:rsid w:val="00865307"/>
    <w:rsid w:val="00865485"/>
    <w:rsid w:val="008707EB"/>
    <w:rsid w:val="008716CE"/>
    <w:rsid w:val="008718E9"/>
    <w:rsid w:val="00873538"/>
    <w:rsid w:val="008749E1"/>
    <w:rsid w:val="00874C8C"/>
    <w:rsid w:val="008753B3"/>
    <w:rsid w:val="008769DD"/>
    <w:rsid w:val="00880A31"/>
    <w:rsid w:val="008846B8"/>
    <w:rsid w:val="00885EF9"/>
    <w:rsid w:val="00886CCF"/>
    <w:rsid w:val="008912DE"/>
    <w:rsid w:val="00891618"/>
    <w:rsid w:val="00891C9A"/>
    <w:rsid w:val="00892068"/>
    <w:rsid w:val="00894034"/>
    <w:rsid w:val="0089482D"/>
    <w:rsid w:val="00894CC2"/>
    <w:rsid w:val="00894DE5"/>
    <w:rsid w:val="008955C1"/>
    <w:rsid w:val="0089662C"/>
    <w:rsid w:val="00896AB9"/>
    <w:rsid w:val="00897A0E"/>
    <w:rsid w:val="008A01C4"/>
    <w:rsid w:val="008A04A4"/>
    <w:rsid w:val="008A04BD"/>
    <w:rsid w:val="008A09C7"/>
    <w:rsid w:val="008A126E"/>
    <w:rsid w:val="008A2F4F"/>
    <w:rsid w:val="008A39BD"/>
    <w:rsid w:val="008A3DE8"/>
    <w:rsid w:val="008A5364"/>
    <w:rsid w:val="008A78BD"/>
    <w:rsid w:val="008A7C25"/>
    <w:rsid w:val="008B044C"/>
    <w:rsid w:val="008B20B9"/>
    <w:rsid w:val="008B58DE"/>
    <w:rsid w:val="008B59A8"/>
    <w:rsid w:val="008B6829"/>
    <w:rsid w:val="008B6D90"/>
    <w:rsid w:val="008C0027"/>
    <w:rsid w:val="008C04C2"/>
    <w:rsid w:val="008C05D7"/>
    <w:rsid w:val="008C1079"/>
    <w:rsid w:val="008C1112"/>
    <w:rsid w:val="008C191D"/>
    <w:rsid w:val="008C1FC1"/>
    <w:rsid w:val="008C3637"/>
    <w:rsid w:val="008C37C2"/>
    <w:rsid w:val="008C5C77"/>
    <w:rsid w:val="008C7CE7"/>
    <w:rsid w:val="008D132C"/>
    <w:rsid w:val="008D1706"/>
    <w:rsid w:val="008D2D3E"/>
    <w:rsid w:val="008D54D1"/>
    <w:rsid w:val="008D7ED6"/>
    <w:rsid w:val="008E0CD9"/>
    <w:rsid w:val="008E1765"/>
    <w:rsid w:val="008E2C11"/>
    <w:rsid w:val="008E3AF7"/>
    <w:rsid w:val="008E41DE"/>
    <w:rsid w:val="008E5D3D"/>
    <w:rsid w:val="008E71CF"/>
    <w:rsid w:val="008E7937"/>
    <w:rsid w:val="008F0066"/>
    <w:rsid w:val="008F0246"/>
    <w:rsid w:val="008F0A50"/>
    <w:rsid w:val="008F0C4D"/>
    <w:rsid w:val="008F1136"/>
    <w:rsid w:val="008F16AD"/>
    <w:rsid w:val="008F39F8"/>
    <w:rsid w:val="008F3C73"/>
    <w:rsid w:val="008F5217"/>
    <w:rsid w:val="008F5417"/>
    <w:rsid w:val="008F5679"/>
    <w:rsid w:val="008F7EFE"/>
    <w:rsid w:val="00900E3E"/>
    <w:rsid w:val="009010A3"/>
    <w:rsid w:val="00902CBA"/>
    <w:rsid w:val="009031AF"/>
    <w:rsid w:val="009043AA"/>
    <w:rsid w:val="00904DA4"/>
    <w:rsid w:val="00905688"/>
    <w:rsid w:val="00905E9F"/>
    <w:rsid w:val="00906150"/>
    <w:rsid w:val="00906805"/>
    <w:rsid w:val="00906925"/>
    <w:rsid w:val="00907CB8"/>
    <w:rsid w:val="00910577"/>
    <w:rsid w:val="0091102E"/>
    <w:rsid w:val="00911108"/>
    <w:rsid w:val="00912492"/>
    <w:rsid w:val="00913170"/>
    <w:rsid w:val="00914003"/>
    <w:rsid w:val="0091520A"/>
    <w:rsid w:val="00916512"/>
    <w:rsid w:val="009167D8"/>
    <w:rsid w:val="009213A4"/>
    <w:rsid w:val="009222AE"/>
    <w:rsid w:val="0092240D"/>
    <w:rsid w:val="009240DF"/>
    <w:rsid w:val="0092455D"/>
    <w:rsid w:val="0092472C"/>
    <w:rsid w:val="00924D61"/>
    <w:rsid w:val="009253E8"/>
    <w:rsid w:val="00926940"/>
    <w:rsid w:val="009274B4"/>
    <w:rsid w:val="00930BE2"/>
    <w:rsid w:val="009312B1"/>
    <w:rsid w:val="00932AB2"/>
    <w:rsid w:val="009330A4"/>
    <w:rsid w:val="009344FE"/>
    <w:rsid w:val="00934B23"/>
    <w:rsid w:val="00934C75"/>
    <w:rsid w:val="0093528B"/>
    <w:rsid w:val="009378CB"/>
    <w:rsid w:val="00942F48"/>
    <w:rsid w:val="009433BE"/>
    <w:rsid w:val="0094474C"/>
    <w:rsid w:val="00947078"/>
    <w:rsid w:val="00947C5B"/>
    <w:rsid w:val="00947CA0"/>
    <w:rsid w:val="00950986"/>
    <w:rsid w:val="009514A2"/>
    <w:rsid w:val="00951628"/>
    <w:rsid w:val="009526E1"/>
    <w:rsid w:val="009540A4"/>
    <w:rsid w:val="00954A77"/>
    <w:rsid w:val="00955975"/>
    <w:rsid w:val="00956747"/>
    <w:rsid w:val="00956FE5"/>
    <w:rsid w:val="0095723D"/>
    <w:rsid w:val="009576C1"/>
    <w:rsid w:val="00957BC5"/>
    <w:rsid w:val="00961003"/>
    <w:rsid w:val="00961B9C"/>
    <w:rsid w:val="009625C8"/>
    <w:rsid w:val="009626B8"/>
    <w:rsid w:val="0096383E"/>
    <w:rsid w:val="00963DE5"/>
    <w:rsid w:val="00963E95"/>
    <w:rsid w:val="009663BE"/>
    <w:rsid w:val="00967A37"/>
    <w:rsid w:val="00970138"/>
    <w:rsid w:val="00970867"/>
    <w:rsid w:val="00971609"/>
    <w:rsid w:val="00971DDE"/>
    <w:rsid w:val="009743A5"/>
    <w:rsid w:val="00974AE7"/>
    <w:rsid w:val="009752E9"/>
    <w:rsid w:val="00975E02"/>
    <w:rsid w:val="00975F04"/>
    <w:rsid w:val="009765EB"/>
    <w:rsid w:val="0097758A"/>
    <w:rsid w:val="00977CF0"/>
    <w:rsid w:val="00980593"/>
    <w:rsid w:val="00981A79"/>
    <w:rsid w:val="00981E6C"/>
    <w:rsid w:val="009827BA"/>
    <w:rsid w:val="00982ED9"/>
    <w:rsid w:val="009843CE"/>
    <w:rsid w:val="0098530C"/>
    <w:rsid w:val="009875FE"/>
    <w:rsid w:val="009876C9"/>
    <w:rsid w:val="00987D30"/>
    <w:rsid w:val="009908E9"/>
    <w:rsid w:val="00990CDF"/>
    <w:rsid w:val="00991022"/>
    <w:rsid w:val="0099129C"/>
    <w:rsid w:val="009913E2"/>
    <w:rsid w:val="00991F92"/>
    <w:rsid w:val="00992721"/>
    <w:rsid w:val="00992E93"/>
    <w:rsid w:val="00992FDF"/>
    <w:rsid w:val="00993226"/>
    <w:rsid w:val="00993625"/>
    <w:rsid w:val="00993D65"/>
    <w:rsid w:val="00993FD7"/>
    <w:rsid w:val="00994DA4"/>
    <w:rsid w:val="00994FA0"/>
    <w:rsid w:val="0099612B"/>
    <w:rsid w:val="009A2516"/>
    <w:rsid w:val="009A2F5F"/>
    <w:rsid w:val="009A3D22"/>
    <w:rsid w:val="009A468E"/>
    <w:rsid w:val="009A46AB"/>
    <w:rsid w:val="009A4BDF"/>
    <w:rsid w:val="009A7DD7"/>
    <w:rsid w:val="009B183D"/>
    <w:rsid w:val="009B2400"/>
    <w:rsid w:val="009B447C"/>
    <w:rsid w:val="009B4AD7"/>
    <w:rsid w:val="009B52EA"/>
    <w:rsid w:val="009B546A"/>
    <w:rsid w:val="009B595D"/>
    <w:rsid w:val="009B5C94"/>
    <w:rsid w:val="009B600B"/>
    <w:rsid w:val="009B6132"/>
    <w:rsid w:val="009B7F3F"/>
    <w:rsid w:val="009C1853"/>
    <w:rsid w:val="009C3A18"/>
    <w:rsid w:val="009C4A40"/>
    <w:rsid w:val="009C551F"/>
    <w:rsid w:val="009C5BA3"/>
    <w:rsid w:val="009C683C"/>
    <w:rsid w:val="009C6B0C"/>
    <w:rsid w:val="009C7F5A"/>
    <w:rsid w:val="009D0B95"/>
    <w:rsid w:val="009D0C6F"/>
    <w:rsid w:val="009D3237"/>
    <w:rsid w:val="009D38CC"/>
    <w:rsid w:val="009D3D69"/>
    <w:rsid w:val="009D58FE"/>
    <w:rsid w:val="009E0007"/>
    <w:rsid w:val="009E0AE3"/>
    <w:rsid w:val="009E24B3"/>
    <w:rsid w:val="009E2F5C"/>
    <w:rsid w:val="009E3568"/>
    <w:rsid w:val="009E36FE"/>
    <w:rsid w:val="009E3841"/>
    <w:rsid w:val="009E404A"/>
    <w:rsid w:val="009E44FA"/>
    <w:rsid w:val="009E51E5"/>
    <w:rsid w:val="009E5238"/>
    <w:rsid w:val="009E5EA9"/>
    <w:rsid w:val="009E7F52"/>
    <w:rsid w:val="009F10CA"/>
    <w:rsid w:val="009F1677"/>
    <w:rsid w:val="009F3432"/>
    <w:rsid w:val="009F49B0"/>
    <w:rsid w:val="00A004AE"/>
    <w:rsid w:val="00A00D3F"/>
    <w:rsid w:val="00A01CBF"/>
    <w:rsid w:val="00A02C40"/>
    <w:rsid w:val="00A02C51"/>
    <w:rsid w:val="00A042B9"/>
    <w:rsid w:val="00A04B07"/>
    <w:rsid w:val="00A050AC"/>
    <w:rsid w:val="00A052F8"/>
    <w:rsid w:val="00A06509"/>
    <w:rsid w:val="00A06F2E"/>
    <w:rsid w:val="00A0739D"/>
    <w:rsid w:val="00A07CFD"/>
    <w:rsid w:val="00A104FB"/>
    <w:rsid w:val="00A10CC0"/>
    <w:rsid w:val="00A110F5"/>
    <w:rsid w:val="00A12F11"/>
    <w:rsid w:val="00A138A7"/>
    <w:rsid w:val="00A14192"/>
    <w:rsid w:val="00A15F5C"/>
    <w:rsid w:val="00A162F1"/>
    <w:rsid w:val="00A167AE"/>
    <w:rsid w:val="00A16C02"/>
    <w:rsid w:val="00A170BE"/>
    <w:rsid w:val="00A171EB"/>
    <w:rsid w:val="00A171F6"/>
    <w:rsid w:val="00A20DCD"/>
    <w:rsid w:val="00A2294B"/>
    <w:rsid w:val="00A23254"/>
    <w:rsid w:val="00A25A0C"/>
    <w:rsid w:val="00A26930"/>
    <w:rsid w:val="00A26E77"/>
    <w:rsid w:val="00A279C7"/>
    <w:rsid w:val="00A30EF4"/>
    <w:rsid w:val="00A3179D"/>
    <w:rsid w:val="00A321F7"/>
    <w:rsid w:val="00A33154"/>
    <w:rsid w:val="00A33FCD"/>
    <w:rsid w:val="00A344FD"/>
    <w:rsid w:val="00A35165"/>
    <w:rsid w:val="00A43E2F"/>
    <w:rsid w:val="00A44A1E"/>
    <w:rsid w:val="00A45249"/>
    <w:rsid w:val="00A45621"/>
    <w:rsid w:val="00A46AC7"/>
    <w:rsid w:val="00A46B52"/>
    <w:rsid w:val="00A500A6"/>
    <w:rsid w:val="00A50977"/>
    <w:rsid w:val="00A50C22"/>
    <w:rsid w:val="00A50FB9"/>
    <w:rsid w:val="00A51E53"/>
    <w:rsid w:val="00A5272C"/>
    <w:rsid w:val="00A5564F"/>
    <w:rsid w:val="00A55DA1"/>
    <w:rsid w:val="00A57A65"/>
    <w:rsid w:val="00A57F0E"/>
    <w:rsid w:val="00A61EDC"/>
    <w:rsid w:val="00A62298"/>
    <w:rsid w:val="00A62C53"/>
    <w:rsid w:val="00A657E1"/>
    <w:rsid w:val="00A664C3"/>
    <w:rsid w:val="00A67BAD"/>
    <w:rsid w:val="00A70F01"/>
    <w:rsid w:val="00A71A2A"/>
    <w:rsid w:val="00A72584"/>
    <w:rsid w:val="00A72742"/>
    <w:rsid w:val="00A729C5"/>
    <w:rsid w:val="00A73C50"/>
    <w:rsid w:val="00A74B1E"/>
    <w:rsid w:val="00A74DA6"/>
    <w:rsid w:val="00A75EF0"/>
    <w:rsid w:val="00A76AEE"/>
    <w:rsid w:val="00A76E4D"/>
    <w:rsid w:val="00A77790"/>
    <w:rsid w:val="00A77E61"/>
    <w:rsid w:val="00A80437"/>
    <w:rsid w:val="00A83D9D"/>
    <w:rsid w:val="00A83E71"/>
    <w:rsid w:val="00A84FB6"/>
    <w:rsid w:val="00A854F1"/>
    <w:rsid w:val="00A86109"/>
    <w:rsid w:val="00A87735"/>
    <w:rsid w:val="00A90C1D"/>
    <w:rsid w:val="00A90F83"/>
    <w:rsid w:val="00A92D0E"/>
    <w:rsid w:val="00A9317A"/>
    <w:rsid w:val="00A93A4A"/>
    <w:rsid w:val="00A94D20"/>
    <w:rsid w:val="00A96803"/>
    <w:rsid w:val="00A978C8"/>
    <w:rsid w:val="00AA0CF4"/>
    <w:rsid w:val="00AA1484"/>
    <w:rsid w:val="00AA203A"/>
    <w:rsid w:val="00AA2B40"/>
    <w:rsid w:val="00AA3165"/>
    <w:rsid w:val="00AA7F8D"/>
    <w:rsid w:val="00AB018D"/>
    <w:rsid w:val="00AB05DC"/>
    <w:rsid w:val="00AB1A0A"/>
    <w:rsid w:val="00AB258F"/>
    <w:rsid w:val="00AB4D90"/>
    <w:rsid w:val="00AB592E"/>
    <w:rsid w:val="00AB689B"/>
    <w:rsid w:val="00AB78ED"/>
    <w:rsid w:val="00AC2D0E"/>
    <w:rsid w:val="00AC2DFF"/>
    <w:rsid w:val="00AC30A7"/>
    <w:rsid w:val="00AC324D"/>
    <w:rsid w:val="00AC67C3"/>
    <w:rsid w:val="00AC729C"/>
    <w:rsid w:val="00AD06C1"/>
    <w:rsid w:val="00AD09B6"/>
    <w:rsid w:val="00AD176C"/>
    <w:rsid w:val="00AD1989"/>
    <w:rsid w:val="00AD1A38"/>
    <w:rsid w:val="00AD4003"/>
    <w:rsid w:val="00AD4736"/>
    <w:rsid w:val="00AD5617"/>
    <w:rsid w:val="00AD68A1"/>
    <w:rsid w:val="00AD69A4"/>
    <w:rsid w:val="00AD6A76"/>
    <w:rsid w:val="00AD6B77"/>
    <w:rsid w:val="00AD6BAA"/>
    <w:rsid w:val="00AD6CDA"/>
    <w:rsid w:val="00AD716C"/>
    <w:rsid w:val="00AE0F42"/>
    <w:rsid w:val="00AE1419"/>
    <w:rsid w:val="00AE2C2E"/>
    <w:rsid w:val="00AE3D10"/>
    <w:rsid w:val="00AE4332"/>
    <w:rsid w:val="00AE67DB"/>
    <w:rsid w:val="00AE7001"/>
    <w:rsid w:val="00AF10C9"/>
    <w:rsid w:val="00AF13DB"/>
    <w:rsid w:val="00AF1751"/>
    <w:rsid w:val="00AF1A68"/>
    <w:rsid w:val="00AF1AE8"/>
    <w:rsid w:val="00AF1CB7"/>
    <w:rsid w:val="00AF1E2C"/>
    <w:rsid w:val="00AF27DA"/>
    <w:rsid w:val="00AF379B"/>
    <w:rsid w:val="00AF40BC"/>
    <w:rsid w:val="00AF4959"/>
    <w:rsid w:val="00AF7B4F"/>
    <w:rsid w:val="00AF7E5F"/>
    <w:rsid w:val="00B0119B"/>
    <w:rsid w:val="00B016D2"/>
    <w:rsid w:val="00B03304"/>
    <w:rsid w:val="00B062A9"/>
    <w:rsid w:val="00B06EDB"/>
    <w:rsid w:val="00B10158"/>
    <w:rsid w:val="00B116D9"/>
    <w:rsid w:val="00B121BD"/>
    <w:rsid w:val="00B139EB"/>
    <w:rsid w:val="00B142D1"/>
    <w:rsid w:val="00B15B48"/>
    <w:rsid w:val="00B15DC4"/>
    <w:rsid w:val="00B1620D"/>
    <w:rsid w:val="00B2202D"/>
    <w:rsid w:val="00B224C2"/>
    <w:rsid w:val="00B229B4"/>
    <w:rsid w:val="00B23C34"/>
    <w:rsid w:val="00B25335"/>
    <w:rsid w:val="00B2580D"/>
    <w:rsid w:val="00B25817"/>
    <w:rsid w:val="00B268C7"/>
    <w:rsid w:val="00B27222"/>
    <w:rsid w:val="00B300A5"/>
    <w:rsid w:val="00B307B9"/>
    <w:rsid w:val="00B30859"/>
    <w:rsid w:val="00B32337"/>
    <w:rsid w:val="00B33064"/>
    <w:rsid w:val="00B33256"/>
    <w:rsid w:val="00B338F0"/>
    <w:rsid w:val="00B356EC"/>
    <w:rsid w:val="00B36560"/>
    <w:rsid w:val="00B36900"/>
    <w:rsid w:val="00B37CE5"/>
    <w:rsid w:val="00B37F39"/>
    <w:rsid w:val="00B4286A"/>
    <w:rsid w:val="00B447DD"/>
    <w:rsid w:val="00B447E5"/>
    <w:rsid w:val="00B452F4"/>
    <w:rsid w:val="00B46302"/>
    <w:rsid w:val="00B50F50"/>
    <w:rsid w:val="00B51928"/>
    <w:rsid w:val="00B51992"/>
    <w:rsid w:val="00B532B2"/>
    <w:rsid w:val="00B542BE"/>
    <w:rsid w:val="00B554F5"/>
    <w:rsid w:val="00B610A8"/>
    <w:rsid w:val="00B61C90"/>
    <w:rsid w:val="00B64D2C"/>
    <w:rsid w:val="00B64D68"/>
    <w:rsid w:val="00B65247"/>
    <w:rsid w:val="00B662C7"/>
    <w:rsid w:val="00B66764"/>
    <w:rsid w:val="00B6736D"/>
    <w:rsid w:val="00B6755E"/>
    <w:rsid w:val="00B67B14"/>
    <w:rsid w:val="00B67DD0"/>
    <w:rsid w:val="00B70F52"/>
    <w:rsid w:val="00B71398"/>
    <w:rsid w:val="00B72325"/>
    <w:rsid w:val="00B724DC"/>
    <w:rsid w:val="00B73C44"/>
    <w:rsid w:val="00B73FA8"/>
    <w:rsid w:val="00B74084"/>
    <w:rsid w:val="00B74195"/>
    <w:rsid w:val="00B75731"/>
    <w:rsid w:val="00B770A2"/>
    <w:rsid w:val="00B77729"/>
    <w:rsid w:val="00B81593"/>
    <w:rsid w:val="00B82DE5"/>
    <w:rsid w:val="00B83260"/>
    <w:rsid w:val="00B84448"/>
    <w:rsid w:val="00B84768"/>
    <w:rsid w:val="00B84D6D"/>
    <w:rsid w:val="00B85188"/>
    <w:rsid w:val="00B8614D"/>
    <w:rsid w:val="00B86BBE"/>
    <w:rsid w:val="00B87314"/>
    <w:rsid w:val="00B921B6"/>
    <w:rsid w:val="00B9278A"/>
    <w:rsid w:val="00B936BD"/>
    <w:rsid w:val="00B939A9"/>
    <w:rsid w:val="00B93D63"/>
    <w:rsid w:val="00B94F07"/>
    <w:rsid w:val="00B9525F"/>
    <w:rsid w:val="00B9605A"/>
    <w:rsid w:val="00B96C8D"/>
    <w:rsid w:val="00B96ED4"/>
    <w:rsid w:val="00BA00A0"/>
    <w:rsid w:val="00BA12D9"/>
    <w:rsid w:val="00BA134D"/>
    <w:rsid w:val="00BA29C1"/>
    <w:rsid w:val="00BA2A6A"/>
    <w:rsid w:val="00BA3691"/>
    <w:rsid w:val="00BA3BC2"/>
    <w:rsid w:val="00BA4E6F"/>
    <w:rsid w:val="00BA4FE3"/>
    <w:rsid w:val="00BA509B"/>
    <w:rsid w:val="00BA6A09"/>
    <w:rsid w:val="00BA6D7B"/>
    <w:rsid w:val="00BB33B2"/>
    <w:rsid w:val="00BB35DE"/>
    <w:rsid w:val="00BB3641"/>
    <w:rsid w:val="00BB442B"/>
    <w:rsid w:val="00BB4A49"/>
    <w:rsid w:val="00BB5244"/>
    <w:rsid w:val="00BB79F5"/>
    <w:rsid w:val="00BC0176"/>
    <w:rsid w:val="00BC0925"/>
    <w:rsid w:val="00BC115B"/>
    <w:rsid w:val="00BC17B5"/>
    <w:rsid w:val="00BC240C"/>
    <w:rsid w:val="00BC2ADF"/>
    <w:rsid w:val="00BC3EBA"/>
    <w:rsid w:val="00BC464D"/>
    <w:rsid w:val="00BC4D35"/>
    <w:rsid w:val="00BC5ED6"/>
    <w:rsid w:val="00BC6399"/>
    <w:rsid w:val="00BC6810"/>
    <w:rsid w:val="00BC6DC8"/>
    <w:rsid w:val="00BC744F"/>
    <w:rsid w:val="00BD0372"/>
    <w:rsid w:val="00BD081E"/>
    <w:rsid w:val="00BD0B8C"/>
    <w:rsid w:val="00BD147A"/>
    <w:rsid w:val="00BD1EF7"/>
    <w:rsid w:val="00BD2542"/>
    <w:rsid w:val="00BD2A06"/>
    <w:rsid w:val="00BD2E5F"/>
    <w:rsid w:val="00BD2FCD"/>
    <w:rsid w:val="00BD585D"/>
    <w:rsid w:val="00BD6740"/>
    <w:rsid w:val="00BD7850"/>
    <w:rsid w:val="00BD7AD5"/>
    <w:rsid w:val="00BE0296"/>
    <w:rsid w:val="00BE21E7"/>
    <w:rsid w:val="00BE2E04"/>
    <w:rsid w:val="00BE3BF1"/>
    <w:rsid w:val="00BE4E72"/>
    <w:rsid w:val="00BE6C4A"/>
    <w:rsid w:val="00BE712B"/>
    <w:rsid w:val="00BF079A"/>
    <w:rsid w:val="00BF0EE0"/>
    <w:rsid w:val="00BF1114"/>
    <w:rsid w:val="00BF1913"/>
    <w:rsid w:val="00BF3CB1"/>
    <w:rsid w:val="00BF3D6B"/>
    <w:rsid w:val="00BF40FB"/>
    <w:rsid w:val="00BF5092"/>
    <w:rsid w:val="00BF6524"/>
    <w:rsid w:val="00BF76C9"/>
    <w:rsid w:val="00BF7D6F"/>
    <w:rsid w:val="00C000FB"/>
    <w:rsid w:val="00C05F2A"/>
    <w:rsid w:val="00C05F79"/>
    <w:rsid w:val="00C0605C"/>
    <w:rsid w:val="00C06C9E"/>
    <w:rsid w:val="00C078E8"/>
    <w:rsid w:val="00C10013"/>
    <w:rsid w:val="00C10029"/>
    <w:rsid w:val="00C10416"/>
    <w:rsid w:val="00C105B1"/>
    <w:rsid w:val="00C11165"/>
    <w:rsid w:val="00C111C5"/>
    <w:rsid w:val="00C11E40"/>
    <w:rsid w:val="00C12419"/>
    <w:rsid w:val="00C129F8"/>
    <w:rsid w:val="00C12DB8"/>
    <w:rsid w:val="00C13140"/>
    <w:rsid w:val="00C14F1B"/>
    <w:rsid w:val="00C159E4"/>
    <w:rsid w:val="00C165EC"/>
    <w:rsid w:val="00C1766C"/>
    <w:rsid w:val="00C17B85"/>
    <w:rsid w:val="00C21502"/>
    <w:rsid w:val="00C2262B"/>
    <w:rsid w:val="00C25667"/>
    <w:rsid w:val="00C25EF3"/>
    <w:rsid w:val="00C27608"/>
    <w:rsid w:val="00C276B5"/>
    <w:rsid w:val="00C35272"/>
    <w:rsid w:val="00C3608B"/>
    <w:rsid w:val="00C36989"/>
    <w:rsid w:val="00C376C8"/>
    <w:rsid w:val="00C40BEF"/>
    <w:rsid w:val="00C41B12"/>
    <w:rsid w:val="00C42B67"/>
    <w:rsid w:val="00C44D9D"/>
    <w:rsid w:val="00C4524F"/>
    <w:rsid w:val="00C46CBE"/>
    <w:rsid w:val="00C505DC"/>
    <w:rsid w:val="00C50E8C"/>
    <w:rsid w:val="00C51EA4"/>
    <w:rsid w:val="00C53B83"/>
    <w:rsid w:val="00C5441E"/>
    <w:rsid w:val="00C55360"/>
    <w:rsid w:val="00C55718"/>
    <w:rsid w:val="00C55769"/>
    <w:rsid w:val="00C55E24"/>
    <w:rsid w:val="00C56798"/>
    <w:rsid w:val="00C6186C"/>
    <w:rsid w:val="00C645B2"/>
    <w:rsid w:val="00C65809"/>
    <w:rsid w:val="00C667D4"/>
    <w:rsid w:val="00C670B5"/>
    <w:rsid w:val="00C6760E"/>
    <w:rsid w:val="00C70016"/>
    <w:rsid w:val="00C706E5"/>
    <w:rsid w:val="00C70734"/>
    <w:rsid w:val="00C71908"/>
    <w:rsid w:val="00C71DD9"/>
    <w:rsid w:val="00C723FE"/>
    <w:rsid w:val="00C73F79"/>
    <w:rsid w:val="00C773B0"/>
    <w:rsid w:val="00C77CC1"/>
    <w:rsid w:val="00C80D95"/>
    <w:rsid w:val="00C80E42"/>
    <w:rsid w:val="00C81AEF"/>
    <w:rsid w:val="00C82ED6"/>
    <w:rsid w:val="00C82F26"/>
    <w:rsid w:val="00C844DF"/>
    <w:rsid w:val="00C906CD"/>
    <w:rsid w:val="00C90A1B"/>
    <w:rsid w:val="00C90DED"/>
    <w:rsid w:val="00C91056"/>
    <w:rsid w:val="00C91683"/>
    <w:rsid w:val="00C93648"/>
    <w:rsid w:val="00C93957"/>
    <w:rsid w:val="00C93E08"/>
    <w:rsid w:val="00C94704"/>
    <w:rsid w:val="00C94C56"/>
    <w:rsid w:val="00C94C74"/>
    <w:rsid w:val="00C96D67"/>
    <w:rsid w:val="00C97D54"/>
    <w:rsid w:val="00CA1EE6"/>
    <w:rsid w:val="00CA213D"/>
    <w:rsid w:val="00CA29E2"/>
    <w:rsid w:val="00CA2F7C"/>
    <w:rsid w:val="00CA4676"/>
    <w:rsid w:val="00CA4D30"/>
    <w:rsid w:val="00CA4F4D"/>
    <w:rsid w:val="00CA66DB"/>
    <w:rsid w:val="00CA6B84"/>
    <w:rsid w:val="00CA7873"/>
    <w:rsid w:val="00CA7B9F"/>
    <w:rsid w:val="00CB0952"/>
    <w:rsid w:val="00CB0C63"/>
    <w:rsid w:val="00CB1D65"/>
    <w:rsid w:val="00CB2790"/>
    <w:rsid w:val="00CB3560"/>
    <w:rsid w:val="00CB3826"/>
    <w:rsid w:val="00CB501C"/>
    <w:rsid w:val="00CB57E0"/>
    <w:rsid w:val="00CB5C94"/>
    <w:rsid w:val="00CB6778"/>
    <w:rsid w:val="00CB6C87"/>
    <w:rsid w:val="00CB739B"/>
    <w:rsid w:val="00CB763C"/>
    <w:rsid w:val="00CC0348"/>
    <w:rsid w:val="00CC1EE6"/>
    <w:rsid w:val="00CC2D6A"/>
    <w:rsid w:val="00CD0A55"/>
    <w:rsid w:val="00CD1DA9"/>
    <w:rsid w:val="00CD34F1"/>
    <w:rsid w:val="00CD4B66"/>
    <w:rsid w:val="00CD583B"/>
    <w:rsid w:val="00CD790F"/>
    <w:rsid w:val="00CE1065"/>
    <w:rsid w:val="00CE1768"/>
    <w:rsid w:val="00CE2462"/>
    <w:rsid w:val="00CE2B20"/>
    <w:rsid w:val="00CE3D6D"/>
    <w:rsid w:val="00CE3F04"/>
    <w:rsid w:val="00CE5CBD"/>
    <w:rsid w:val="00CE6E20"/>
    <w:rsid w:val="00CE70E7"/>
    <w:rsid w:val="00CF20A7"/>
    <w:rsid w:val="00CF224B"/>
    <w:rsid w:val="00CF3D11"/>
    <w:rsid w:val="00CF4E4A"/>
    <w:rsid w:val="00CF71EE"/>
    <w:rsid w:val="00CF73E4"/>
    <w:rsid w:val="00CF7D4B"/>
    <w:rsid w:val="00D0068D"/>
    <w:rsid w:val="00D01E57"/>
    <w:rsid w:val="00D022A2"/>
    <w:rsid w:val="00D03967"/>
    <w:rsid w:val="00D03CFD"/>
    <w:rsid w:val="00D05FFF"/>
    <w:rsid w:val="00D0685A"/>
    <w:rsid w:val="00D06F99"/>
    <w:rsid w:val="00D0724D"/>
    <w:rsid w:val="00D105C3"/>
    <w:rsid w:val="00D10D33"/>
    <w:rsid w:val="00D111EB"/>
    <w:rsid w:val="00D124CC"/>
    <w:rsid w:val="00D12B15"/>
    <w:rsid w:val="00D14F47"/>
    <w:rsid w:val="00D156C4"/>
    <w:rsid w:val="00D171F5"/>
    <w:rsid w:val="00D20B79"/>
    <w:rsid w:val="00D2148D"/>
    <w:rsid w:val="00D2198C"/>
    <w:rsid w:val="00D21A49"/>
    <w:rsid w:val="00D24066"/>
    <w:rsid w:val="00D24C2F"/>
    <w:rsid w:val="00D27678"/>
    <w:rsid w:val="00D2790E"/>
    <w:rsid w:val="00D3070B"/>
    <w:rsid w:val="00D314C5"/>
    <w:rsid w:val="00D319D4"/>
    <w:rsid w:val="00D3243C"/>
    <w:rsid w:val="00D34A44"/>
    <w:rsid w:val="00D356BA"/>
    <w:rsid w:val="00D362EA"/>
    <w:rsid w:val="00D36905"/>
    <w:rsid w:val="00D37EA0"/>
    <w:rsid w:val="00D37F8C"/>
    <w:rsid w:val="00D40737"/>
    <w:rsid w:val="00D40B86"/>
    <w:rsid w:val="00D41071"/>
    <w:rsid w:val="00D42631"/>
    <w:rsid w:val="00D438C3"/>
    <w:rsid w:val="00D44350"/>
    <w:rsid w:val="00D4441B"/>
    <w:rsid w:val="00D453BE"/>
    <w:rsid w:val="00D45B86"/>
    <w:rsid w:val="00D45B9B"/>
    <w:rsid w:val="00D45E40"/>
    <w:rsid w:val="00D46203"/>
    <w:rsid w:val="00D46690"/>
    <w:rsid w:val="00D46AC0"/>
    <w:rsid w:val="00D4765D"/>
    <w:rsid w:val="00D5018B"/>
    <w:rsid w:val="00D503DD"/>
    <w:rsid w:val="00D51589"/>
    <w:rsid w:val="00D5291A"/>
    <w:rsid w:val="00D52EC4"/>
    <w:rsid w:val="00D53791"/>
    <w:rsid w:val="00D53C02"/>
    <w:rsid w:val="00D56CE1"/>
    <w:rsid w:val="00D57A94"/>
    <w:rsid w:val="00D57B60"/>
    <w:rsid w:val="00D60C40"/>
    <w:rsid w:val="00D62C99"/>
    <w:rsid w:val="00D66772"/>
    <w:rsid w:val="00D67D35"/>
    <w:rsid w:val="00D70FD9"/>
    <w:rsid w:val="00D71657"/>
    <w:rsid w:val="00D73F9B"/>
    <w:rsid w:val="00D748A9"/>
    <w:rsid w:val="00D74AD1"/>
    <w:rsid w:val="00D74BCF"/>
    <w:rsid w:val="00D7530A"/>
    <w:rsid w:val="00D77006"/>
    <w:rsid w:val="00D7756F"/>
    <w:rsid w:val="00D80007"/>
    <w:rsid w:val="00D80761"/>
    <w:rsid w:val="00D81A14"/>
    <w:rsid w:val="00D82528"/>
    <w:rsid w:val="00D8366C"/>
    <w:rsid w:val="00D839E6"/>
    <w:rsid w:val="00D84D10"/>
    <w:rsid w:val="00D85C08"/>
    <w:rsid w:val="00D8667A"/>
    <w:rsid w:val="00D86774"/>
    <w:rsid w:val="00D86F7B"/>
    <w:rsid w:val="00D90209"/>
    <w:rsid w:val="00D90708"/>
    <w:rsid w:val="00D91995"/>
    <w:rsid w:val="00D92375"/>
    <w:rsid w:val="00D92959"/>
    <w:rsid w:val="00D9368C"/>
    <w:rsid w:val="00D9405F"/>
    <w:rsid w:val="00D959A8"/>
    <w:rsid w:val="00D95BDD"/>
    <w:rsid w:val="00D96058"/>
    <w:rsid w:val="00D968DE"/>
    <w:rsid w:val="00D96948"/>
    <w:rsid w:val="00D977C3"/>
    <w:rsid w:val="00DA05CB"/>
    <w:rsid w:val="00DA0FE0"/>
    <w:rsid w:val="00DA1179"/>
    <w:rsid w:val="00DA291B"/>
    <w:rsid w:val="00DA3E76"/>
    <w:rsid w:val="00DA5434"/>
    <w:rsid w:val="00DA5956"/>
    <w:rsid w:val="00DA5FD6"/>
    <w:rsid w:val="00DA7978"/>
    <w:rsid w:val="00DB0E01"/>
    <w:rsid w:val="00DB277C"/>
    <w:rsid w:val="00DB2861"/>
    <w:rsid w:val="00DB4DEE"/>
    <w:rsid w:val="00DB5C20"/>
    <w:rsid w:val="00DB66D4"/>
    <w:rsid w:val="00DB7726"/>
    <w:rsid w:val="00DC1B5B"/>
    <w:rsid w:val="00DC274E"/>
    <w:rsid w:val="00DC3879"/>
    <w:rsid w:val="00DC535E"/>
    <w:rsid w:val="00DC6301"/>
    <w:rsid w:val="00DC6A95"/>
    <w:rsid w:val="00DC7720"/>
    <w:rsid w:val="00DC7B0D"/>
    <w:rsid w:val="00DD025D"/>
    <w:rsid w:val="00DD0E39"/>
    <w:rsid w:val="00DD11BE"/>
    <w:rsid w:val="00DD297A"/>
    <w:rsid w:val="00DD4A05"/>
    <w:rsid w:val="00DD5B85"/>
    <w:rsid w:val="00DD7012"/>
    <w:rsid w:val="00DD7028"/>
    <w:rsid w:val="00DD7A12"/>
    <w:rsid w:val="00DE0EEE"/>
    <w:rsid w:val="00DE19AC"/>
    <w:rsid w:val="00DE1B33"/>
    <w:rsid w:val="00DE25DD"/>
    <w:rsid w:val="00DE2989"/>
    <w:rsid w:val="00DE3412"/>
    <w:rsid w:val="00DE34D0"/>
    <w:rsid w:val="00DE3D3D"/>
    <w:rsid w:val="00DE4C5E"/>
    <w:rsid w:val="00DE504D"/>
    <w:rsid w:val="00DE7A76"/>
    <w:rsid w:val="00DF0705"/>
    <w:rsid w:val="00DF2031"/>
    <w:rsid w:val="00DF2D4C"/>
    <w:rsid w:val="00DF449E"/>
    <w:rsid w:val="00DF478A"/>
    <w:rsid w:val="00DF4D3C"/>
    <w:rsid w:val="00DF5219"/>
    <w:rsid w:val="00DF638D"/>
    <w:rsid w:val="00DF64F0"/>
    <w:rsid w:val="00DF6A64"/>
    <w:rsid w:val="00DF6AA7"/>
    <w:rsid w:val="00DF6BCF"/>
    <w:rsid w:val="00DF7E73"/>
    <w:rsid w:val="00E0042B"/>
    <w:rsid w:val="00E0047B"/>
    <w:rsid w:val="00E01613"/>
    <w:rsid w:val="00E01FC8"/>
    <w:rsid w:val="00E035F4"/>
    <w:rsid w:val="00E1090A"/>
    <w:rsid w:val="00E10D15"/>
    <w:rsid w:val="00E12764"/>
    <w:rsid w:val="00E129AF"/>
    <w:rsid w:val="00E13EBD"/>
    <w:rsid w:val="00E162BE"/>
    <w:rsid w:val="00E164D0"/>
    <w:rsid w:val="00E23B11"/>
    <w:rsid w:val="00E25556"/>
    <w:rsid w:val="00E25C35"/>
    <w:rsid w:val="00E26910"/>
    <w:rsid w:val="00E27BD7"/>
    <w:rsid w:val="00E31B68"/>
    <w:rsid w:val="00E34B52"/>
    <w:rsid w:val="00E363B2"/>
    <w:rsid w:val="00E36DA9"/>
    <w:rsid w:val="00E37C19"/>
    <w:rsid w:val="00E4345C"/>
    <w:rsid w:val="00E43EC6"/>
    <w:rsid w:val="00E44704"/>
    <w:rsid w:val="00E44A76"/>
    <w:rsid w:val="00E454D0"/>
    <w:rsid w:val="00E457D5"/>
    <w:rsid w:val="00E466B3"/>
    <w:rsid w:val="00E469CE"/>
    <w:rsid w:val="00E46F28"/>
    <w:rsid w:val="00E505E7"/>
    <w:rsid w:val="00E51D21"/>
    <w:rsid w:val="00E52D38"/>
    <w:rsid w:val="00E5385C"/>
    <w:rsid w:val="00E542DD"/>
    <w:rsid w:val="00E55C80"/>
    <w:rsid w:val="00E56527"/>
    <w:rsid w:val="00E5685A"/>
    <w:rsid w:val="00E60B71"/>
    <w:rsid w:val="00E6130B"/>
    <w:rsid w:val="00E615F1"/>
    <w:rsid w:val="00E61DEE"/>
    <w:rsid w:val="00E61E4D"/>
    <w:rsid w:val="00E61F45"/>
    <w:rsid w:val="00E63EBA"/>
    <w:rsid w:val="00E6438C"/>
    <w:rsid w:val="00E6499E"/>
    <w:rsid w:val="00E65E57"/>
    <w:rsid w:val="00E67732"/>
    <w:rsid w:val="00E678C1"/>
    <w:rsid w:val="00E70453"/>
    <w:rsid w:val="00E70CBB"/>
    <w:rsid w:val="00E71438"/>
    <w:rsid w:val="00E74462"/>
    <w:rsid w:val="00E74A6C"/>
    <w:rsid w:val="00E7567C"/>
    <w:rsid w:val="00E767D7"/>
    <w:rsid w:val="00E76D1B"/>
    <w:rsid w:val="00E80D36"/>
    <w:rsid w:val="00E81348"/>
    <w:rsid w:val="00E8147B"/>
    <w:rsid w:val="00E845E5"/>
    <w:rsid w:val="00E84C4E"/>
    <w:rsid w:val="00E84CE6"/>
    <w:rsid w:val="00E855AA"/>
    <w:rsid w:val="00E86A74"/>
    <w:rsid w:val="00E86B6A"/>
    <w:rsid w:val="00E87BA8"/>
    <w:rsid w:val="00E910FA"/>
    <w:rsid w:val="00E92923"/>
    <w:rsid w:val="00E92C62"/>
    <w:rsid w:val="00E93243"/>
    <w:rsid w:val="00E9371B"/>
    <w:rsid w:val="00E94889"/>
    <w:rsid w:val="00E95241"/>
    <w:rsid w:val="00EA0035"/>
    <w:rsid w:val="00EA0A45"/>
    <w:rsid w:val="00EA1393"/>
    <w:rsid w:val="00EA1EDD"/>
    <w:rsid w:val="00EA2281"/>
    <w:rsid w:val="00EA2C14"/>
    <w:rsid w:val="00EA529D"/>
    <w:rsid w:val="00EA7B1A"/>
    <w:rsid w:val="00EA7CFF"/>
    <w:rsid w:val="00EA7EA3"/>
    <w:rsid w:val="00EB20BC"/>
    <w:rsid w:val="00EB26C1"/>
    <w:rsid w:val="00EB3008"/>
    <w:rsid w:val="00EB4043"/>
    <w:rsid w:val="00EB41D4"/>
    <w:rsid w:val="00EB4B84"/>
    <w:rsid w:val="00EB5D1D"/>
    <w:rsid w:val="00EC03C5"/>
    <w:rsid w:val="00EC2F59"/>
    <w:rsid w:val="00EC38CD"/>
    <w:rsid w:val="00EC485C"/>
    <w:rsid w:val="00EC4E20"/>
    <w:rsid w:val="00EC7DF6"/>
    <w:rsid w:val="00ED1C76"/>
    <w:rsid w:val="00ED2753"/>
    <w:rsid w:val="00ED27ED"/>
    <w:rsid w:val="00ED34FE"/>
    <w:rsid w:val="00ED7B00"/>
    <w:rsid w:val="00ED7F81"/>
    <w:rsid w:val="00EE075B"/>
    <w:rsid w:val="00EE30C2"/>
    <w:rsid w:val="00EF00A7"/>
    <w:rsid w:val="00EF0AFF"/>
    <w:rsid w:val="00EF1377"/>
    <w:rsid w:val="00EF1829"/>
    <w:rsid w:val="00EF46AD"/>
    <w:rsid w:val="00EF5E7F"/>
    <w:rsid w:val="00EF5E84"/>
    <w:rsid w:val="00F0123E"/>
    <w:rsid w:val="00F020BD"/>
    <w:rsid w:val="00F020F3"/>
    <w:rsid w:val="00F0335A"/>
    <w:rsid w:val="00F03953"/>
    <w:rsid w:val="00F0480F"/>
    <w:rsid w:val="00F056AD"/>
    <w:rsid w:val="00F0611B"/>
    <w:rsid w:val="00F06D37"/>
    <w:rsid w:val="00F06DC0"/>
    <w:rsid w:val="00F074FD"/>
    <w:rsid w:val="00F10A53"/>
    <w:rsid w:val="00F113F7"/>
    <w:rsid w:val="00F11CC2"/>
    <w:rsid w:val="00F129F7"/>
    <w:rsid w:val="00F1312F"/>
    <w:rsid w:val="00F1400D"/>
    <w:rsid w:val="00F1551F"/>
    <w:rsid w:val="00F159FA"/>
    <w:rsid w:val="00F163B1"/>
    <w:rsid w:val="00F202D8"/>
    <w:rsid w:val="00F224BA"/>
    <w:rsid w:val="00F22F8B"/>
    <w:rsid w:val="00F23302"/>
    <w:rsid w:val="00F25ABC"/>
    <w:rsid w:val="00F26857"/>
    <w:rsid w:val="00F2747F"/>
    <w:rsid w:val="00F27CF0"/>
    <w:rsid w:val="00F31207"/>
    <w:rsid w:val="00F320EA"/>
    <w:rsid w:val="00F3238B"/>
    <w:rsid w:val="00F323B2"/>
    <w:rsid w:val="00F330C3"/>
    <w:rsid w:val="00F3318D"/>
    <w:rsid w:val="00F339FA"/>
    <w:rsid w:val="00F34DCA"/>
    <w:rsid w:val="00F35762"/>
    <w:rsid w:val="00F36E75"/>
    <w:rsid w:val="00F42C62"/>
    <w:rsid w:val="00F432E4"/>
    <w:rsid w:val="00F44E72"/>
    <w:rsid w:val="00F452E0"/>
    <w:rsid w:val="00F47311"/>
    <w:rsid w:val="00F50603"/>
    <w:rsid w:val="00F5295E"/>
    <w:rsid w:val="00F52BA9"/>
    <w:rsid w:val="00F52F18"/>
    <w:rsid w:val="00F5485C"/>
    <w:rsid w:val="00F574FB"/>
    <w:rsid w:val="00F6048E"/>
    <w:rsid w:val="00F60BB6"/>
    <w:rsid w:val="00F613AC"/>
    <w:rsid w:val="00F61A11"/>
    <w:rsid w:val="00F629E0"/>
    <w:rsid w:val="00F63628"/>
    <w:rsid w:val="00F64CAF"/>
    <w:rsid w:val="00F64F7B"/>
    <w:rsid w:val="00F653FF"/>
    <w:rsid w:val="00F66675"/>
    <w:rsid w:val="00F66987"/>
    <w:rsid w:val="00F67259"/>
    <w:rsid w:val="00F67897"/>
    <w:rsid w:val="00F67F75"/>
    <w:rsid w:val="00F7130A"/>
    <w:rsid w:val="00F722E5"/>
    <w:rsid w:val="00F726FD"/>
    <w:rsid w:val="00F73239"/>
    <w:rsid w:val="00F75469"/>
    <w:rsid w:val="00F75F13"/>
    <w:rsid w:val="00F767E1"/>
    <w:rsid w:val="00F76BCE"/>
    <w:rsid w:val="00F81FB4"/>
    <w:rsid w:val="00F82339"/>
    <w:rsid w:val="00F82EB4"/>
    <w:rsid w:val="00F82EB6"/>
    <w:rsid w:val="00F84FA9"/>
    <w:rsid w:val="00F854F2"/>
    <w:rsid w:val="00F856E3"/>
    <w:rsid w:val="00F85D22"/>
    <w:rsid w:val="00F871E1"/>
    <w:rsid w:val="00F873C6"/>
    <w:rsid w:val="00F87DBD"/>
    <w:rsid w:val="00F909D0"/>
    <w:rsid w:val="00F91101"/>
    <w:rsid w:val="00F91BC5"/>
    <w:rsid w:val="00F91F8D"/>
    <w:rsid w:val="00F92375"/>
    <w:rsid w:val="00F92B3C"/>
    <w:rsid w:val="00F94F24"/>
    <w:rsid w:val="00FA1C15"/>
    <w:rsid w:val="00FA2903"/>
    <w:rsid w:val="00FA36C7"/>
    <w:rsid w:val="00FA4C60"/>
    <w:rsid w:val="00FA5B03"/>
    <w:rsid w:val="00FA5E07"/>
    <w:rsid w:val="00FA71DF"/>
    <w:rsid w:val="00FB048F"/>
    <w:rsid w:val="00FB14EA"/>
    <w:rsid w:val="00FB1731"/>
    <w:rsid w:val="00FB58D4"/>
    <w:rsid w:val="00FB6D0D"/>
    <w:rsid w:val="00FB7DF9"/>
    <w:rsid w:val="00FC0103"/>
    <w:rsid w:val="00FC152F"/>
    <w:rsid w:val="00FC2B0E"/>
    <w:rsid w:val="00FC6D88"/>
    <w:rsid w:val="00FD08BA"/>
    <w:rsid w:val="00FD0E2F"/>
    <w:rsid w:val="00FD3272"/>
    <w:rsid w:val="00FD5009"/>
    <w:rsid w:val="00FD5115"/>
    <w:rsid w:val="00FD5FDE"/>
    <w:rsid w:val="00FD659F"/>
    <w:rsid w:val="00FD6ED5"/>
    <w:rsid w:val="00FE0D0B"/>
    <w:rsid w:val="00FE1131"/>
    <w:rsid w:val="00FE24E2"/>
    <w:rsid w:val="00FE26A7"/>
    <w:rsid w:val="00FE2B91"/>
    <w:rsid w:val="00FE2F2E"/>
    <w:rsid w:val="00FE4C0E"/>
    <w:rsid w:val="00FE4C75"/>
    <w:rsid w:val="00FE55C6"/>
    <w:rsid w:val="00FE6003"/>
    <w:rsid w:val="00FE64A3"/>
    <w:rsid w:val="00FF0E52"/>
    <w:rsid w:val="00FF33D9"/>
    <w:rsid w:val="00FF4255"/>
    <w:rsid w:val="00FF5202"/>
    <w:rsid w:val="00FF65B7"/>
    <w:rsid w:val="00FF68AB"/>
    <w:rsid w:val="00FF74D1"/>
    <w:rsid w:val="00FF77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3835"/>
  <w15:chartTrackingRefBased/>
  <w15:docId w15:val="{81141816-1EA3-2F4D-BC62-FAE3524F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85"/>
    <w:rPr>
      <w:rFonts w:ascii="Times New Roman" w:eastAsia="Times New Roman" w:hAnsi="Times New Roman" w:cs="Times New Roman"/>
    </w:rPr>
  </w:style>
  <w:style w:type="paragraph" w:styleId="Heading3">
    <w:name w:val="heading 3"/>
    <w:basedOn w:val="Normal"/>
    <w:link w:val="Heading3Char"/>
    <w:uiPriority w:val="9"/>
    <w:qFormat/>
    <w:rsid w:val="005B658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0A3"/>
    <w:rPr>
      <w:sz w:val="16"/>
      <w:szCs w:val="16"/>
    </w:rPr>
  </w:style>
  <w:style w:type="paragraph" w:styleId="CommentText">
    <w:name w:val="annotation text"/>
    <w:basedOn w:val="Normal"/>
    <w:link w:val="CommentTextChar"/>
    <w:uiPriority w:val="99"/>
    <w:unhideWhenUsed/>
    <w:rsid w:val="009010A3"/>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010A3"/>
    <w:rPr>
      <w:sz w:val="20"/>
      <w:szCs w:val="20"/>
    </w:rPr>
  </w:style>
  <w:style w:type="paragraph" w:styleId="CommentSubject">
    <w:name w:val="annotation subject"/>
    <w:basedOn w:val="CommentText"/>
    <w:next w:val="CommentText"/>
    <w:link w:val="CommentSubjectChar"/>
    <w:uiPriority w:val="99"/>
    <w:semiHidden/>
    <w:unhideWhenUsed/>
    <w:rsid w:val="009010A3"/>
    <w:rPr>
      <w:b/>
      <w:bCs/>
    </w:rPr>
  </w:style>
  <w:style w:type="character" w:customStyle="1" w:styleId="CommentSubjectChar">
    <w:name w:val="Comment Subject Char"/>
    <w:basedOn w:val="CommentTextChar"/>
    <w:link w:val="CommentSubject"/>
    <w:uiPriority w:val="99"/>
    <w:semiHidden/>
    <w:rsid w:val="009010A3"/>
    <w:rPr>
      <w:b/>
      <w:bCs/>
      <w:sz w:val="20"/>
      <w:szCs w:val="20"/>
    </w:rPr>
  </w:style>
  <w:style w:type="character" w:styleId="Strong">
    <w:name w:val="Strong"/>
    <w:qFormat/>
    <w:rsid w:val="0011217C"/>
    <w:rPr>
      <w:b/>
      <w:bCs/>
    </w:rPr>
  </w:style>
  <w:style w:type="paragraph" w:styleId="Header">
    <w:name w:val="header"/>
    <w:basedOn w:val="Normal"/>
    <w:link w:val="HeaderChar"/>
    <w:uiPriority w:val="99"/>
    <w:unhideWhenUsed/>
    <w:rsid w:val="0011217C"/>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1217C"/>
  </w:style>
  <w:style w:type="paragraph" w:styleId="Footer">
    <w:name w:val="footer"/>
    <w:basedOn w:val="Normal"/>
    <w:link w:val="FooterChar"/>
    <w:uiPriority w:val="99"/>
    <w:unhideWhenUsed/>
    <w:rsid w:val="0011217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1217C"/>
  </w:style>
  <w:style w:type="character" w:customStyle="1" w:styleId="Heading3Char">
    <w:name w:val="Heading 3 Char"/>
    <w:basedOn w:val="DefaultParagraphFont"/>
    <w:link w:val="Heading3"/>
    <w:uiPriority w:val="9"/>
    <w:rsid w:val="005B65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B6585"/>
    <w:rPr>
      <w:color w:val="0000FF"/>
      <w:u w:val="single"/>
    </w:rPr>
  </w:style>
  <w:style w:type="character" w:customStyle="1" w:styleId="normaltextrun">
    <w:name w:val="normaltextrun"/>
    <w:basedOn w:val="DefaultParagraphFont"/>
    <w:rsid w:val="006C5CFC"/>
  </w:style>
  <w:style w:type="paragraph" w:styleId="Revision">
    <w:name w:val="Revision"/>
    <w:hidden/>
    <w:uiPriority w:val="99"/>
    <w:semiHidden/>
    <w:rsid w:val="00A71A2A"/>
    <w:rPr>
      <w:rFonts w:ascii="Times New Roman" w:eastAsia="Times New Roman" w:hAnsi="Times New Roman" w:cs="Times New Roman"/>
    </w:rPr>
  </w:style>
  <w:style w:type="paragraph" w:styleId="NormalWeb">
    <w:name w:val="Normal (Web)"/>
    <w:basedOn w:val="Normal"/>
    <w:uiPriority w:val="99"/>
    <w:semiHidden/>
    <w:unhideWhenUsed/>
    <w:rsid w:val="00BE4E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2214">
      <w:bodyDiv w:val="1"/>
      <w:marLeft w:val="0"/>
      <w:marRight w:val="0"/>
      <w:marTop w:val="0"/>
      <w:marBottom w:val="0"/>
      <w:divBdr>
        <w:top w:val="none" w:sz="0" w:space="0" w:color="auto"/>
        <w:left w:val="none" w:sz="0" w:space="0" w:color="auto"/>
        <w:bottom w:val="none" w:sz="0" w:space="0" w:color="auto"/>
        <w:right w:val="none" w:sz="0" w:space="0" w:color="auto"/>
      </w:divBdr>
    </w:div>
    <w:div w:id="382290122">
      <w:bodyDiv w:val="1"/>
      <w:marLeft w:val="0"/>
      <w:marRight w:val="0"/>
      <w:marTop w:val="0"/>
      <w:marBottom w:val="0"/>
      <w:divBdr>
        <w:top w:val="none" w:sz="0" w:space="0" w:color="auto"/>
        <w:left w:val="none" w:sz="0" w:space="0" w:color="auto"/>
        <w:bottom w:val="none" w:sz="0" w:space="0" w:color="auto"/>
        <w:right w:val="none" w:sz="0" w:space="0" w:color="auto"/>
      </w:divBdr>
    </w:div>
    <w:div w:id="707265455">
      <w:bodyDiv w:val="1"/>
      <w:marLeft w:val="0"/>
      <w:marRight w:val="0"/>
      <w:marTop w:val="0"/>
      <w:marBottom w:val="0"/>
      <w:divBdr>
        <w:top w:val="none" w:sz="0" w:space="0" w:color="auto"/>
        <w:left w:val="none" w:sz="0" w:space="0" w:color="auto"/>
        <w:bottom w:val="none" w:sz="0" w:space="0" w:color="auto"/>
        <w:right w:val="none" w:sz="0" w:space="0" w:color="auto"/>
      </w:divBdr>
    </w:div>
    <w:div w:id="1344016892">
      <w:bodyDiv w:val="1"/>
      <w:marLeft w:val="0"/>
      <w:marRight w:val="0"/>
      <w:marTop w:val="0"/>
      <w:marBottom w:val="0"/>
      <w:divBdr>
        <w:top w:val="none" w:sz="0" w:space="0" w:color="auto"/>
        <w:left w:val="none" w:sz="0" w:space="0" w:color="auto"/>
        <w:bottom w:val="none" w:sz="0" w:space="0" w:color="auto"/>
        <w:right w:val="none" w:sz="0" w:space="0" w:color="auto"/>
      </w:divBdr>
    </w:div>
    <w:div w:id="1384015142">
      <w:bodyDiv w:val="1"/>
      <w:marLeft w:val="0"/>
      <w:marRight w:val="0"/>
      <w:marTop w:val="0"/>
      <w:marBottom w:val="0"/>
      <w:divBdr>
        <w:top w:val="none" w:sz="0" w:space="0" w:color="auto"/>
        <w:left w:val="none" w:sz="0" w:space="0" w:color="auto"/>
        <w:bottom w:val="none" w:sz="0" w:space="0" w:color="auto"/>
        <w:right w:val="none" w:sz="0" w:space="0" w:color="auto"/>
      </w:divBdr>
    </w:div>
    <w:div w:id="1655597704">
      <w:bodyDiv w:val="1"/>
      <w:marLeft w:val="0"/>
      <w:marRight w:val="0"/>
      <w:marTop w:val="0"/>
      <w:marBottom w:val="0"/>
      <w:divBdr>
        <w:top w:val="none" w:sz="0" w:space="0" w:color="auto"/>
        <w:left w:val="none" w:sz="0" w:space="0" w:color="auto"/>
        <w:bottom w:val="none" w:sz="0" w:space="0" w:color="auto"/>
        <w:right w:val="none" w:sz="0" w:space="0" w:color="auto"/>
      </w:divBdr>
    </w:div>
    <w:div w:id="20784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dina.griva@ntu.edu.sg"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0DAF-32D8-864D-9DFF-FD6FF82A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63540</Words>
  <Characters>362179</Characters>
  <Application>Microsoft Office Word</Application>
  <DocSecurity>0</DocSecurity>
  <Lines>3018</Lines>
  <Paragraphs>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HUI FEI#</dc:creator>
  <cp:keywords/>
  <dc:description/>
  <cp:lastModifiedBy>UG-Newman, Stanton</cp:lastModifiedBy>
  <cp:revision>3</cp:revision>
  <dcterms:created xsi:type="dcterms:W3CDTF">2023-04-21T14:48:00Z</dcterms:created>
  <dcterms:modified xsi:type="dcterms:W3CDTF">2023-04-21T14:48:00Z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http://www.zotero.org/styles/bmc-nephrology</vt:lpwstr>
  </property>
  <property fmtid="{D5CDD505-2E9C-101B-9397-08002B2CF9AE}" pid="9" name="Mendeley Recent Style Name 3_1">
    <vt:lpwstr>BMC Nephrology</vt:lpwstr>
  </property>
  <property fmtid="{D5CDD505-2E9C-101B-9397-08002B2CF9AE}" pid="10" name="Mendeley Recent Style Id 4_1">
    <vt:lpwstr>http://www.zotero.org/styles/british-journal-of-health-psychology</vt:lpwstr>
  </property>
  <property fmtid="{D5CDD505-2E9C-101B-9397-08002B2CF9AE}" pid="11" name="Mendeley Recent Style Name 4_1">
    <vt:lpwstr>British Journal of Health Psychology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http://www.zotero.org/styles/health-psychology-review</vt:lpwstr>
  </property>
  <property fmtid="{D5CDD505-2E9C-101B-9397-08002B2CF9AE}" pid="17" name="Mendeley Recent Style Name 7_1">
    <vt:lpwstr>Health Psychology Review</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9c0f6b43-d81c-34e7-a3e5-8f488117f8a3</vt:lpwstr>
  </property>
  <property fmtid="{D5CDD505-2E9C-101B-9397-08002B2CF9AE}" pid="24" name="Mendeley Citation Style_1">
    <vt:lpwstr>http://www.zotero.org/styles/british-journal-of-health-psychology</vt:lpwstr>
  </property>
</Properties>
</file>